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0C1BA" w14:textId="77777777" w:rsidR="00823B9D" w:rsidRDefault="00000000">
      <w:pPr>
        <w:spacing w:before="360" w:after="160"/>
        <w:jc w:val="center"/>
      </w:pPr>
      <w:r>
        <w:rPr>
          <w:noProof/>
        </w:rPr>
        <w:drawing>
          <wp:inline distT="0" distB="0" distL="0" distR="0" wp14:anchorId="736254B9" wp14:editId="1E59286F">
            <wp:extent cx="1691640" cy="1946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GI_logo_cropped.png"/>
                    <pic:cNvPicPr/>
                  </pic:nvPicPr>
                  <pic:blipFill>
                    <a:blip r:embed="rId8"/>
                    <a:stretch>
                      <a:fillRect/>
                    </a:stretch>
                  </pic:blipFill>
                  <pic:spPr>
                    <a:xfrm>
                      <a:off x="0" y="0"/>
                      <a:ext cx="1691640" cy="1946780"/>
                    </a:xfrm>
                    <a:prstGeom prst="rect">
                      <a:avLst/>
                    </a:prstGeom>
                  </pic:spPr>
                </pic:pic>
              </a:graphicData>
            </a:graphic>
          </wp:inline>
        </w:drawing>
      </w:r>
    </w:p>
    <w:p w14:paraId="7E74CD44" w14:textId="77777777" w:rsidR="00823B9D" w:rsidRDefault="00000000">
      <w:pPr>
        <w:spacing w:before="200" w:after="40"/>
        <w:jc w:val="center"/>
      </w:pPr>
      <w:r>
        <w:rPr>
          <w:rFonts w:ascii="Aptos Display" w:hAnsi="Aptos Display"/>
          <w:b/>
          <w:color w:val="0B376D"/>
          <w:sz w:val="50"/>
        </w:rPr>
        <w:t>GUIDE FOR AUTHORS</w:t>
      </w:r>
    </w:p>
    <w:p w14:paraId="61F39B98" w14:textId="77777777" w:rsidR="00823B9D" w:rsidRDefault="00000000">
      <w:pPr>
        <w:spacing w:after="140"/>
        <w:jc w:val="center"/>
      </w:pPr>
      <w:r>
        <w:rPr>
          <w:b/>
          <w:color w:val="0B8178"/>
          <w:sz w:val="27"/>
        </w:rPr>
        <w:t>Manuscript Preparation and Submission Requirements</w:t>
      </w:r>
    </w:p>
    <w:p w14:paraId="59A4F3A7" w14:textId="77777777" w:rsidR="00823B9D" w:rsidRDefault="00000000">
      <w:pPr>
        <w:spacing w:after="240"/>
        <w:jc w:val="center"/>
      </w:pPr>
      <w:r>
        <w:rPr>
          <w:i/>
          <w:color w:val="65717E"/>
          <w:sz w:val="21"/>
        </w:rPr>
        <w:t>Evidence for governing, delivering and scaling sustainability.</w:t>
      </w:r>
    </w:p>
    <w:tbl>
      <w:tblPr>
        <w:tblW w:w="0" w:type="auto"/>
        <w:jc w:val="center"/>
        <w:tblBorders>
          <w:top w:val="single" w:sz="8" w:space="0" w:color="0B8178"/>
          <w:left w:val="single" w:sz="8" w:space="0" w:color="0B8178"/>
          <w:bottom w:val="single" w:sz="8" w:space="0" w:color="0B8178"/>
          <w:right w:val="single" w:sz="8" w:space="0" w:color="0B8178"/>
          <w:insideH w:val="single" w:sz="8" w:space="0" w:color="0B8178"/>
          <w:insideV w:val="single" w:sz="8" w:space="0" w:color="0B8178"/>
        </w:tblBorders>
        <w:tblLook w:val="04A0" w:firstRow="1" w:lastRow="0" w:firstColumn="1" w:lastColumn="0" w:noHBand="0" w:noVBand="1"/>
      </w:tblPr>
      <w:tblGrid>
        <w:gridCol w:w="10146"/>
      </w:tblGrid>
      <w:tr w:rsidR="00823B9D" w14:paraId="10F4F668" w14:textId="77777777" w:rsidTr="008B2963">
        <w:trPr>
          <w:jc w:val="center"/>
        </w:trPr>
        <w:tc>
          <w:tcPr>
            <w:tcW w:w="10166" w:type="dxa"/>
            <w:tcMar>
              <w:top w:w="130" w:type="dxa"/>
              <w:left w:w="160" w:type="dxa"/>
              <w:bottom w:w="130" w:type="dxa"/>
              <w:right w:w="160" w:type="dxa"/>
            </w:tcMar>
          </w:tcPr>
          <w:p w14:paraId="28243AEA" w14:textId="77777777" w:rsidR="00823B9D" w:rsidRDefault="00000000">
            <w:pPr>
              <w:jc w:val="center"/>
            </w:pPr>
            <w:r>
              <w:rPr>
                <w:b/>
                <w:color w:val="0B376D"/>
                <w:sz w:val="21"/>
              </w:rPr>
              <w:t>For authors preparing original, rigorous and implementation-oriented sustainability research for JSGI</w:t>
            </w:r>
          </w:p>
        </w:tc>
      </w:tr>
    </w:tbl>
    <w:p w14:paraId="5C1AB5A8" w14:textId="77777777" w:rsidR="00823B9D" w:rsidRDefault="00000000">
      <w:r>
        <w:br w:type="page"/>
      </w:r>
    </w:p>
    <w:p w14:paraId="0F76226D" w14:textId="77777777" w:rsidR="00173B43" w:rsidRDefault="00173B43">
      <w:pPr>
        <w:pStyle w:val="Heading1"/>
      </w:pPr>
    </w:p>
    <w:p w14:paraId="07B7C267" w14:textId="03D7F8F3" w:rsidR="00823B9D" w:rsidRDefault="00000000">
      <w:pPr>
        <w:pStyle w:val="Heading1"/>
      </w:pPr>
      <w:r>
        <w:t>Contents</w:t>
      </w:r>
    </w:p>
    <w:tbl>
      <w:tblPr>
        <w:tblW w:w="0" w:type="auto"/>
        <w:jc w:val="center"/>
        <w:tblBorders>
          <w:top w:val="single" w:sz="5" w:space="0" w:color="CCD5DE"/>
          <w:left w:val="single" w:sz="5" w:space="0" w:color="CCD5DE"/>
          <w:bottom w:val="single" w:sz="5" w:space="0" w:color="CCD5DE"/>
          <w:right w:val="single" w:sz="5" w:space="0" w:color="CCD5DE"/>
          <w:insideH w:val="single" w:sz="5" w:space="0" w:color="CCD5DE"/>
          <w:insideV w:val="single" w:sz="5" w:space="0" w:color="CCD5DE"/>
        </w:tblBorders>
        <w:tblLook w:val="04A0" w:firstRow="1" w:lastRow="0" w:firstColumn="1" w:lastColumn="0" w:noHBand="0" w:noVBand="1"/>
      </w:tblPr>
      <w:tblGrid>
        <w:gridCol w:w="845"/>
        <w:gridCol w:w="9309"/>
      </w:tblGrid>
      <w:tr w:rsidR="00823B9D" w14:paraId="50F47C27" w14:textId="77777777" w:rsidTr="00173B43">
        <w:trPr>
          <w:jc w:val="center"/>
        </w:trPr>
        <w:tc>
          <w:tcPr>
            <w:tcW w:w="845" w:type="dxa"/>
            <w:shd w:val="clear" w:color="auto" w:fill="0B376D"/>
            <w:tcMar>
              <w:top w:w="90" w:type="dxa"/>
              <w:left w:w="90" w:type="dxa"/>
              <w:bottom w:w="90" w:type="dxa"/>
              <w:right w:w="90" w:type="dxa"/>
            </w:tcMar>
            <w:vAlign w:val="center"/>
          </w:tcPr>
          <w:p w14:paraId="2FA9B120" w14:textId="77777777" w:rsidR="00823B9D" w:rsidRDefault="00000000" w:rsidP="00173B43">
            <w:pPr>
              <w:jc w:val="center"/>
            </w:pPr>
            <w:r>
              <w:rPr>
                <w:b/>
                <w:color w:val="FFFFFF"/>
              </w:rPr>
              <w:t>1</w:t>
            </w:r>
          </w:p>
        </w:tc>
        <w:tc>
          <w:tcPr>
            <w:tcW w:w="9309" w:type="dxa"/>
            <w:tcMar>
              <w:top w:w="90" w:type="dxa"/>
              <w:left w:w="110" w:type="dxa"/>
              <w:bottom w:w="90" w:type="dxa"/>
              <w:right w:w="110" w:type="dxa"/>
            </w:tcMar>
          </w:tcPr>
          <w:p w14:paraId="1BFCEBF3" w14:textId="77777777" w:rsidR="00823B9D" w:rsidRDefault="00000000">
            <w:pPr>
              <w:spacing w:after="20"/>
            </w:pPr>
            <w:r>
              <w:rPr>
                <w:b/>
                <w:color w:val="0B376D"/>
                <w:sz w:val="19"/>
              </w:rPr>
              <w:t>About JSGI</w:t>
            </w:r>
            <w:r>
              <w:rPr>
                <w:b/>
                <w:color w:val="0B376D"/>
                <w:sz w:val="19"/>
              </w:rPr>
              <w:br/>
              <w:t>Journal purpose, aims, scope and readership</w:t>
            </w:r>
          </w:p>
        </w:tc>
      </w:tr>
      <w:tr w:rsidR="00823B9D" w14:paraId="311AF1C0" w14:textId="77777777" w:rsidTr="00173B43">
        <w:trPr>
          <w:jc w:val="center"/>
        </w:trPr>
        <w:tc>
          <w:tcPr>
            <w:tcW w:w="845" w:type="dxa"/>
            <w:shd w:val="clear" w:color="auto" w:fill="0B8178"/>
            <w:tcMar>
              <w:top w:w="90" w:type="dxa"/>
              <w:left w:w="90" w:type="dxa"/>
              <w:bottom w:w="90" w:type="dxa"/>
              <w:right w:w="90" w:type="dxa"/>
            </w:tcMar>
            <w:vAlign w:val="center"/>
          </w:tcPr>
          <w:p w14:paraId="4E4BCAD2" w14:textId="77777777" w:rsidR="00823B9D" w:rsidRDefault="00000000" w:rsidP="00173B43">
            <w:pPr>
              <w:jc w:val="center"/>
            </w:pPr>
            <w:r>
              <w:rPr>
                <w:b/>
                <w:color w:val="FFFFFF"/>
              </w:rPr>
              <w:t>2</w:t>
            </w:r>
          </w:p>
        </w:tc>
        <w:tc>
          <w:tcPr>
            <w:tcW w:w="9309" w:type="dxa"/>
            <w:shd w:val="clear" w:color="auto" w:fill="F4F6F8"/>
            <w:tcMar>
              <w:top w:w="90" w:type="dxa"/>
              <w:left w:w="110" w:type="dxa"/>
              <w:bottom w:w="90" w:type="dxa"/>
              <w:right w:w="110" w:type="dxa"/>
            </w:tcMar>
          </w:tcPr>
          <w:p w14:paraId="4CB0AE49" w14:textId="77777777" w:rsidR="00823B9D" w:rsidRDefault="00000000">
            <w:pPr>
              <w:spacing w:after="20"/>
            </w:pPr>
            <w:r>
              <w:rPr>
                <w:b/>
                <w:color w:val="0B376D"/>
                <w:sz w:val="19"/>
              </w:rPr>
              <w:t>Editorial Fit Framework</w:t>
            </w:r>
            <w:r>
              <w:rPr>
                <w:b/>
                <w:color w:val="0B376D"/>
                <w:sz w:val="19"/>
              </w:rPr>
              <w:br/>
              <w:t>How JSGI evaluates scope fit and transferability</w:t>
            </w:r>
          </w:p>
        </w:tc>
      </w:tr>
      <w:tr w:rsidR="00823B9D" w14:paraId="7CAF05DB" w14:textId="77777777" w:rsidTr="00173B43">
        <w:trPr>
          <w:jc w:val="center"/>
        </w:trPr>
        <w:tc>
          <w:tcPr>
            <w:tcW w:w="845" w:type="dxa"/>
            <w:shd w:val="clear" w:color="auto" w:fill="0B376D"/>
            <w:tcMar>
              <w:top w:w="90" w:type="dxa"/>
              <w:left w:w="90" w:type="dxa"/>
              <w:bottom w:w="90" w:type="dxa"/>
              <w:right w:w="90" w:type="dxa"/>
            </w:tcMar>
            <w:vAlign w:val="center"/>
          </w:tcPr>
          <w:p w14:paraId="71B9144F" w14:textId="77777777" w:rsidR="00823B9D" w:rsidRDefault="00000000" w:rsidP="00173B43">
            <w:pPr>
              <w:jc w:val="center"/>
            </w:pPr>
            <w:r>
              <w:rPr>
                <w:b/>
                <w:color w:val="FFFFFF"/>
              </w:rPr>
              <w:t>3</w:t>
            </w:r>
          </w:p>
        </w:tc>
        <w:tc>
          <w:tcPr>
            <w:tcW w:w="9309" w:type="dxa"/>
            <w:tcMar>
              <w:top w:w="90" w:type="dxa"/>
              <w:left w:w="110" w:type="dxa"/>
              <w:bottom w:w="90" w:type="dxa"/>
              <w:right w:w="110" w:type="dxa"/>
            </w:tcMar>
          </w:tcPr>
          <w:p w14:paraId="644D186D" w14:textId="77777777" w:rsidR="00823B9D" w:rsidRDefault="00000000">
            <w:pPr>
              <w:spacing w:after="20"/>
            </w:pPr>
            <w:r>
              <w:rPr>
                <w:b/>
                <w:color w:val="0B376D"/>
                <w:sz w:val="19"/>
              </w:rPr>
              <w:t>Peer Review</w:t>
            </w:r>
            <w:r>
              <w:rPr>
                <w:b/>
                <w:color w:val="0B376D"/>
                <w:sz w:val="19"/>
              </w:rPr>
              <w:br/>
              <w:t>Editorial screening, double-anonymous review and decisions</w:t>
            </w:r>
          </w:p>
        </w:tc>
      </w:tr>
      <w:tr w:rsidR="00823B9D" w14:paraId="26BE731D" w14:textId="77777777" w:rsidTr="00173B43">
        <w:trPr>
          <w:jc w:val="center"/>
        </w:trPr>
        <w:tc>
          <w:tcPr>
            <w:tcW w:w="845" w:type="dxa"/>
            <w:shd w:val="clear" w:color="auto" w:fill="0B8178"/>
            <w:tcMar>
              <w:top w:w="90" w:type="dxa"/>
              <w:left w:w="90" w:type="dxa"/>
              <w:bottom w:w="90" w:type="dxa"/>
              <w:right w:w="90" w:type="dxa"/>
            </w:tcMar>
            <w:vAlign w:val="center"/>
          </w:tcPr>
          <w:p w14:paraId="618090DA" w14:textId="77777777" w:rsidR="00823B9D" w:rsidRDefault="00000000" w:rsidP="00173B43">
            <w:pPr>
              <w:jc w:val="center"/>
            </w:pPr>
            <w:r>
              <w:rPr>
                <w:b/>
                <w:color w:val="FFFFFF"/>
              </w:rPr>
              <w:t>4</w:t>
            </w:r>
          </w:p>
        </w:tc>
        <w:tc>
          <w:tcPr>
            <w:tcW w:w="9309" w:type="dxa"/>
            <w:shd w:val="clear" w:color="auto" w:fill="F4F6F8"/>
            <w:tcMar>
              <w:top w:w="90" w:type="dxa"/>
              <w:left w:w="110" w:type="dxa"/>
              <w:bottom w:w="90" w:type="dxa"/>
              <w:right w:w="110" w:type="dxa"/>
            </w:tcMar>
          </w:tcPr>
          <w:p w14:paraId="1C41E36C" w14:textId="77777777" w:rsidR="00823B9D" w:rsidRDefault="00000000">
            <w:pPr>
              <w:spacing w:after="20"/>
            </w:pPr>
            <w:r>
              <w:rPr>
                <w:b/>
                <w:color w:val="0B376D"/>
                <w:sz w:val="19"/>
              </w:rPr>
              <w:t>Preparing Your Manuscript</w:t>
            </w:r>
            <w:r>
              <w:rPr>
                <w:b/>
                <w:color w:val="0B376D"/>
                <w:sz w:val="19"/>
              </w:rPr>
              <w:br/>
              <w:t>Structure, format, language and essential components</w:t>
            </w:r>
          </w:p>
        </w:tc>
      </w:tr>
      <w:tr w:rsidR="00823B9D" w14:paraId="250B60E5" w14:textId="77777777" w:rsidTr="00173B43">
        <w:trPr>
          <w:jc w:val="center"/>
        </w:trPr>
        <w:tc>
          <w:tcPr>
            <w:tcW w:w="845" w:type="dxa"/>
            <w:shd w:val="clear" w:color="auto" w:fill="0B376D"/>
            <w:tcMar>
              <w:top w:w="90" w:type="dxa"/>
              <w:left w:w="90" w:type="dxa"/>
              <w:bottom w:w="90" w:type="dxa"/>
              <w:right w:w="90" w:type="dxa"/>
            </w:tcMar>
            <w:vAlign w:val="center"/>
          </w:tcPr>
          <w:p w14:paraId="7352E0F2" w14:textId="77777777" w:rsidR="00823B9D" w:rsidRDefault="00000000" w:rsidP="00173B43">
            <w:pPr>
              <w:jc w:val="center"/>
            </w:pPr>
            <w:r>
              <w:rPr>
                <w:b/>
                <w:color w:val="FFFFFF"/>
              </w:rPr>
              <w:t>5</w:t>
            </w:r>
          </w:p>
        </w:tc>
        <w:tc>
          <w:tcPr>
            <w:tcW w:w="9309" w:type="dxa"/>
            <w:tcMar>
              <w:top w:w="90" w:type="dxa"/>
              <w:left w:w="110" w:type="dxa"/>
              <w:bottom w:w="90" w:type="dxa"/>
              <w:right w:w="110" w:type="dxa"/>
            </w:tcMar>
          </w:tcPr>
          <w:p w14:paraId="4D8C93B5" w14:textId="77777777" w:rsidR="00823B9D" w:rsidRDefault="00000000">
            <w:pPr>
              <w:spacing w:after="20"/>
            </w:pPr>
            <w:r>
              <w:rPr>
                <w:b/>
                <w:color w:val="0B376D"/>
                <w:sz w:val="19"/>
              </w:rPr>
              <w:t>Article Types</w:t>
            </w:r>
            <w:r>
              <w:rPr>
                <w:b/>
                <w:color w:val="0B376D"/>
                <w:sz w:val="19"/>
              </w:rPr>
              <w:br/>
              <w:t>JSGI signature formats and indicative length guidance</w:t>
            </w:r>
          </w:p>
        </w:tc>
      </w:tr>
      <w:tr w:rsidR="00823B9D" w14:paraId="3D561F61" w14:textId="77777777" w:rsidTr="00173B43">
        <w:trPr>
          <w:jc w:val="center"/>
        </w:trPr>
        <w:tc>
          <w:tcPr>
            <w:tcW w:w="845" w:type="dxa"/>
            <w:shd w:val="clear" w:color="auto" w:fill="0B8178"/>
            <w:tcMar>
              <w:top w:w="90" w:type="dxa"/>
              <w:left w:w="90" w:type="dxa"/>
              <w:bottom w:w="90" w:type="dxa"/>
              <w:right w:w="90" w:type="dxa"/>
            </w:tcMar>
            <w:vAlign w:val="center"/>
          </w:tcPr>
          <w:p w14:paraId="4090F860" w14:textId="77777777" w:rsidR="00823B9D" w:rsidRDefault="00000000" w:rsidP="00173B43">
            <w:pPr>
              <w:jc w:val="center"/>
            </w:pPr>
            <w:r>
              <w:rPr>
                <w:b/>
                <w:color w:val="FFFFFF"/>
              </w:rPr>
              <w:t>6</w:t>
            </w:r>
          </w:p>
        </w:tc>
        <w:tc>
          <w:tcPr>
            <w:tcW w:w="9309" w:type="dxa"/>
            <w:shd w:val="clear" w:color="auto" w:fill="F4F6F8"/>
            <w:tcMar>
              <w:top w:w="90" w:type="dxa"/>
              <w:left w:w="110" w:type="dxa"/>
              <w:bottom w:w="90" w:type="dxa"/>
              <w:right w:w="110" w:type="dxa"/>
            </w:tcMar>
          </w:tcPr>
          <w:p w14:paraId="149543C9" w14:textId="77777777" w:rsidR="00823B9D" w:rsidRDefault="00000000">
            <w:pPr>
              <w:spacing w:after="20"/>
            </w:pPr>
            <w:r>
              <w:rPr>
                <w:b/>
                <w:color w:val="0B376D"/>
                <w:sz w:val="19"/>
              </w:rPr>
              <w:t>Research Integrity</w:t>
            </w:r>
            <w:r>
              <w:rPr>
                <w:b/>
                <w:color w:val="0B376D"/>
                <w:sz w:val="19"/>
              </w:rPr>
              <w:br/>
              <w:t>Authorship, ethics, funding, conflicts, AI and data transparency</w:t>
            </w:r>
          </w:p>
        </w:tc>
      </w:tr>
      <w:tr w:rsidR="00823B9D" w14:paraId="43B5F7B5" w14:textId="77777777" w:rsidTr="00173B43">
        <w:trPr>
          <w:jc w:val="center"/>
        </w:trPr>
        <w:tc>
          <w:tcPr>
            <w:tcW w:w="845" w:type="dxa"/>
            <w:shd w:val="clear" w:color="auto" w:fill="0B376D"/>
            <w:tcMar>
              <w:top w:w="90" w:type="dxa"/>
              <w:left w:w="90" w:type="dxa"/>
              <w:bottom w:w="90" w:type="dxa"/>
              <w:right w:w="90" w:type="dxa"/>
            </w:tcMar>
            <w:vAlign w:val="center"/>
          </w:tcPr>
          <w:p w14:paraId="2BFEB045" w14:textId="77777777" w:rsidR="00823B9D" w:rsidRDefault="00000000" w:rsidP="00173B43">
            <w:pPr>
              <w:jc w:val="center"/>
            </w:pPr>
            <w:r>
              <w:rPr>
                <w:b/>
                <w:color w:val="FFFFFF"/>
              </w:rPr>
              <w:t>7</w:t>
            </w:r>
          </w:p>
        </w:tc>
        <w:tc>
          <w:tcPr>
            <w:tcW w:w="9309" w:type="dxa"/>
            <w:tcMar>
              <w:top w:w="90" w:type="dxa"/>
              <w:left w:w="110" w:type="dxa"/>
              <w:bottom w:w="90" w:type="dxa"/>
              <w:right w:w="110" w:type="dxa"/>
            </w:tcMar>
          </w:tcPr>
          <w:p w14:paraId="64BD0D59" w14:textId="77777777" w:rsidR="00823B9D" w:rsidRDefault="00000000">
            <w:pPr>
              <w:spacing w:after="20"/>
            </w:pPr>
            <w:r>
              <w:rPr>
                <w:b/>
                <w:color w:val="0B376D"/>
                <w:sz w:val="19"/>
              </w:rPr>
              <w:t>Figures, Tables and References</w:t>
            </w:r>
            <w:r>
              <w:rPr>
                <w:b/>
                <w:color w:val="0B376D"/>
                <w:sz w:val="19"/>
              </w:rPr>
              <w:br/>
              <w:t>Technical presentation and citation requirements</w:t>
            </w:r>
          </w:p>
        </w:tc>
      </w:tr>
      <w:tr w:rsidR="00823B9D" w14:paraId="05FDF0CD" w14:textId="77777777" w:rsidTr="00173B43">
        <w:trPr>
          <w:jc w:val="center"/>
        </w:trPr>
        <w:tc>
          <w:tcPr>
            <w:tcW w:w="845" w:type="dxa"/>
            <w:shd w:val="clear" w:color="auto" w:fill="0B8178"/>
            <w:tcMar>
              <w:top w:w="90" w:type="dxa"/>
              <w:left w:w="90" w:type="dxa"/>
              <w:bottom w:w="90" w:type="dxa"/>
              <w:right w:w="90" w:type="dxa"/>
            </w:tcMar>
            <w:vAlign w:val="center"/>
          </w:tcPr>
          <w:p w14:paraId="36ECB591" w14:textId="77777777" w:rsidR="00823B9D" w:rsidRDefault="00000000" w:rsidP="00173B43">
            <w:pPr>
              <w:jc w:val="center"/>
            </w:pPr>
            <w:r>
              <w:rPr>
                <w:b/>
                <w:color w:val="FFFFFF"/>
              </w:rPr>
              <w:t>8</w:t>
            </w:r>
          </w:p>
        </w:tc>
        <w:tc>
          <w:tcPr>
            <w:tcW w:w="9309" w:type="dxa"/>
            <w:shd w:val="clear" w:color="auto" w:fill="F4F6F8"/>
            <w:tcMar>
              <w:top w:w="90" w:type="dxa"/>
              <w:left w:w="110" w:type="dxa"/>
              <w:bottom w:w="90" w:type="dxa"/>
              <w:right w:w="110" w:type="dxa"/>
            </w:tcMar>
          </w:tcPr>
          <w:p w14:paraId="31FE5B36" w14:textId="77777777" w:rsidR="00823B9D" w:rsidRDefault="00000000">
            <w:pPr>
              <w:spacing w:after="20"/>
            </w:pPr>
            <w:r>
              <w:rPr>
                <w:b/>
                <w:color w:val="0B376D"/>
                <w:sz w:val="19"/>
              </w:rPr>
              <w:t>Submission Checklist</w:t>
            </w:r>
            <w:r>
              <w:rPr>
                <w:b/>
                <w:color w:val="0B376D"/>
                <w:sz w:val="19"/>
              </w:rPr>
              <w:br/>
              <w:t>Final checks before submission</w:t>
            </w:r>
          </w:p>
        </w:tc>
      </w:tr>
    </w:tbl>
    <w:p w14:paraId="7A0B9534" w14:textId="77777777" w:rsidR="00823B9D" w:rsidRDefault="00000000">
      <w:pPr>
        <w:pStyle w:val="Small"/>
      </w:pPr>
      <w:r>
        <w:t>These guidelines should be read together with the journal website policies and the publisher submission system requirements once the final platform is confirmed.</w:t>
      </w:r>
    </w:p>
    <w:p w14:paraId="2967D697" w14:textId="77777777" w:rsidR="00823B9D" w:rsidRDefault="00000000">
      <w:r>
        <w:br w:type="page"/>
      </w:r>
    </w:p>
    <w:p w14:paraId="0FA02B83" w14:textId="77777777" w:rsidR="00823B9D" w:rsidRDefault="00000000">
      <w:pPr>
        <w:pStyle w:val="Heading1"/>
      </w:pPr>
      <w:r>
        <w:lastRenderedPageBreak/>
        <w:t>1. About JSGI</w:t>
      </w:r>
    </w:p>
    <w:p w14:paraId="0EB1ED1A" w14:textId="77777777" w:rsidR="00823B9D" w:rsidRDefault="00000000">
      <w:pPr>
        <w:pStyle w:val="Lead"/>
        <w:jc w:val="both"/>
      </w:pPr>
      <w:r>
        <w:t>Journal of Sustainability Governance and Implementation (JSGI) is an international, peer-reviewed journal for rigorous research on how sustainability policies, technologies, programmes and organisational strategies are implemented, governed, financed, verified, adapted and scaled. JSGI publishes interdisciplinary evidence that explains why sustainability interventions succeed, fail or perform differently across institutions, places and sectors, and how governance and implementation mechanisms translate ambition into measurable environmental, social and economic outcomes.</w:t>
      </w:r>
    </w:p>
    <w:p w14:paraId="5AE1ADE0" w14:textId="77777777" w:rsidR="00823B9D" w:rsidRPr="00BF721D" w:rsidRDefault="00000000">
      <w:pPr>
        <w:pStyle w:val="Heading2"/>
        <w:rPr>
          <w:color w:val="000000" w:themeColor="text1"/>
        </w:rPr>
      </w:pPr>
      <w:r w:rsidRPr="00BF721D">
        <w:rPr>
          <w:color w:val="000000" w:themeColor="text1"/>
        </w:rPr>
        <w:t>Aims and Scope</w:t>
      </w:r>
    </w:p>
    <w:p w14:paraId="1ED84364" w14:textId="77777777" w:rsidR="00823B9D" w:rsidRDefault="00000000">
      <w:pPr>
        <w:jc w:val="both"/>
      </w:pPr>
      <w:r>
        <w:t>JSGI welcomes empirical, comparative, modelling, experimental, quasi-experimental, mixed-method, systems, lifecycle, institutional, economic, legal and data-driven studies. The journal is especially interested in work that connects technical or environmental performance with decision-making, implementation capacity, incentives, regulation, finance, accountability, legitimacy, justice, monitoring and learning.</w:t>
      </w:r>
    </w:p>
    <w:p w14:paraId="699E2513" w14:textId="77777777" w:rsidR="00823B9D" w:rsidRDefault="00000000">
      <w:pPr>
        <w:jc w:val="both"/>
      </w:pPr>
      <w:r>
        <w:t>High-quality single-context studies are eligible when they generate transferable theory, validated methods or implementation lessons beyond the immediate case. International and comparative studies are strongly encouraged but are not mechanically privileged over rigorous context-specific research.</w:t>
      </w:r>
    </w:p>
    <w:p w14:paraId="73012A42" w14:textId="77777777" w:rsidR="00823B9D" w:rsidRPr="00BF721D" w:rsidRDefault="00000000">
      <w:pPr>
        <w:pStyle w:val="Heading2"/>
        <w:rPr>
          <w:color w:val="000000" w:themeColor="text1"/>
        </w:rPr>
      </w:pPr>
      <w:r w:rsidRPr="00BF721D">
        <w:rPr>
          <w:color w:val="000000" w:themeColor="text1"/>
        </w:rPr>
        <w:t>Editorial Domains</w:t>
      </w:r>
    </w:p>
    <w:tbl>
      <w:tblPr>
        <w:tblW w:w="0" w:type="auto"/>
        <w:jc w:val="center"/>
        <w:tblBorders>
          <w:top w:val="single" w:sz="5" w:space="0" w:color="CCD5DE"/>
          <w:left w:val="single" w:sz="5" w:space="0" w:color="CCD5DE"/>
          <w:bottom w:val="single" w:sz="5" w:space="0" w:color="CCD5DE"/>
          <w:right w:val="single" w:sz="5" w:space="0" w:color="CCD5DE"/>
          <w:insideH w:val="single" w:sz="5" w:space="0" w:color="CCD5DE"/>
          <w:insideV w:val="single" w:sz="5" w:space="0" w:color="CCD5DE"/>
        </w:tblBorders>
        <w:tblLook w:val="04A0" w:firstRow="1" w:lastRow="0" w:firstColumn="1" w:lastColumn="0" w:noHBand="0" w:noVBand="1"/>
      </w:tblPr>
      <w:tblGrid>
        <w:gridCol w:w="3168"/>
        <w:gridCol w:w="6840"/>
      </w:tblGrid>
      <w:tr w:rsidR="00823B9D" w14:paraId="75AB7FD2" w14:textId="77777777">
        <w:trPr>
          <w:tblHeader/>
          <w:jc w:val="center"/>
        </w:trPr>
        <w:tc>
          <w:tcPr>
            <w:tcW w:w="3168" w:type="dxa"/>
            <w:shd w:val="clear" w:color="auto" w:fill="0B8178"/>
            <w:tcMar>
              <w:top w:w="90" w:type="dxa"/>
              <w:left w:w="100" w:type="dxa"/>
              <w:bottom w:w="90" w:type="dxa"/>
              <w:right w:w="100" w:type="dxa"/>
            </w:tcMar>
          </w:tcPr>
          <w:p w14:paraId="0EBF1673" w14:textId="77777777" w:rsidR="00823B9D" w:rsidRDefault="00000000">
            <w:pPr>
              <w:spacing w:after="0"/>
            </w:pPr>
            <w:r>
              <w:rPr>
                <w:b/>
                <w:color w:val="FFFFFF"/>
                <w:sz w:val="17"/>
              </w:rPr>
              <w:t>Domain</w:t>
            </w:r>
          </w:p>
        </w:tc>
        <w:tc>
          <w:tcPr>
            <w:tcW w:w="6840" w:type="dxa"/>
            <w:shd w:val="clear" w:color="auto" w:fill="0B8178"/>
            <w:tcMar>
              <w:top w:w="90" w:type="dxa"/>
              <w:left w:w="100" w:type="dxa"/>
              <w:bottom w:w="90" w:type="dxa"/>
              <w:right w:w="100" w:type="dxa"/>
            </w:tcMar>
          </w:tcPr>
          <w:p w14:paraId="53CCDF9E" w14:textId="77777777" w:rsidR="00823B9D" w:rsidRDefault="00000000">
            <w:pPr>
              <w:spacing w:after="0"/>
            </w:pPr>
            <w:r>
              <w:rPr>
                <w:b/>
                <w:color w:val="FFFFFF"/>
                <w:sz w:val="17"/>
              </w:rPr>
              <w:t>Representative topics</w:t>
            </w:r>
          </w:p>
        </w:tc>
      </w:tr>
      <w:tr w:rsidR="00823B9D" w14:paraId="2860EA7B" w14:textId="77777777">
        <w:trPr>
          <w:jc w:val="center"/>
        </w:trPr>
        <w:tc>
          <w:tcPr>
            <w:tcW w:w="3168" w:type="dxa"/>
            <w:tcMar>
              <w:top w:w="80" w:type="dxa"/>
              <w:left w:w="90" w:type="dxa"/>
              <w:bottom w:w="80" w:type="dxa"/>
              <w:right w:w="90" w:type="dxa"/>
            </w:tcMar>
            <w:vAlign w:val="center"/>
          </w:tcPr>
          <w:p w14:paraId="4F5389CF" w14:textId="77777777" w:rsidR="00823B9D" w:rsidRDefault="00000000">
            <w:pPr>
              <w:spacing w:after="0"/>
            </w:pPr>
            <w:r>
              <w:rPr>
                <w:sz w:val="16"/>
              </w:rPr>
              <w:t>Governance, Policy and Institutional Delivery</w:t>
            </w:r>
          </w:p>
        </w:tc>
        <w:tc>
          <w:tcPr>
            <w:tcW w:w="6840" w:type="dxa"/>
            <w:tcMar>
              <w:top w:w="80" w:type="dxa"/>
              <w:left w:w="90" w:type="dxa"/>
              <w:bottom w:w="80" w:type="dxa"/>
              <w:right w:w="90" w:type="dxa"/>
            </w:tcMar>
            <w:vAlign w:val="center"/>
          </w:tcPr>
          <w:p w14:paraId="52DAA10A" w14:textId="77777777" w:rsidR="00823B9D" w:rsidRDefault="00000000">
            <w:pPr>
              <w:spacing w:after="0"/>
            </w:pPr>
            <w:r>
              <w:rPr>
                <w:sz w:val="16"/>
              </w:rPr>
              <w:t>Policy design and implementation; multi-level and collaborative governance; regulation and compliance; institutional capacity; procurement; implementation failure and learning; standards and accountability.</w:t>
            </w:r>
          </w:p>
        </w:tc>
      </w:tr>
      <w:tr w:rsidR="00823B9D" w14:paraId="29F29A1B" w14:textId="77777777">
        <w:trPr>
          <w:jc w:val="center"/>
        </w:trPr>
        <w:tc>
          <w:tcPr>
            <w:tcW w:w="3168" w:type="dxa"/>
            <w:shd w:val="clear" w:color="auto" w:fill="F4F6F8"/>
            <w:tcMar>
              <w:top w:w="80" w:type="dxa"/>
              <w:left w:w="90" w:type="dxa"/>
              <w:bottom w:w="80" w:type="dxa"/>
              <w:right w:w="90" w:type="dxa"/>
            </w:tcMar>
            <w:vAlign w:val="center"/>
          </w:tcPr>
          <w:p w14:paraId="29102F1A" w14:textId="77777777" w:rsidR="00823B9D" w:rsidRDefault="00000000">
            <w:pPr>
              <w:spacing w:after="0"/>
            </w:pPr>
            <w:r>
              <w:rPr>
                <w:sz w:val="16"/>
              </w:rPr>
              <w:t>Technology Deployment and Systems Transition</w:t>
            </w:r>
          </w:p>
        </w:tc>
        <w:tc>
          <w:tcPr>
            <w:tcW w:w="6840" w:type="dxa"/>
            <w:shd w:val="clear" w:color="auto" w:fill="F4F6F8"/>
            <w:tcMar>
              <w:top w:w="80" w:type="dxa"/>
              <w:left w:w="90" w:type="dxa"/>
              <w:bottom w:w="80" w:type="dxa"/>
              <w:right w:w="90" w:type="dxa"/>
            </w:tcMar>
            <w:vAlign w:val="center"/>
          </w:tcPr>
          <w:p w14:paraId="6CEBB7AF" w14:textId="77777777" w:rsidR="00823B9D" w:rsidRDefault="00000000">
            <w:pPr>
              <w:spacing w:after="0"/>
            </w:pPr>
            <w:r>
              <w:rPr>
                <w:sz w:val="16"/>
              </w:rPr>
              <w:t>Clean energy deployment; storage, hydrogen and grids; low-carbon industry; technology adoption; infrastructure delivery; project governance; scale-up; legitimacy and behavioural uptake.</w:t>
            </w:r>
          </w:p>
        </w:tc>
      </w:tr>
      <w:tr w:rsidR="00823B9D" w14:paraId="71521D31" w14:textId="77777777">
        <w:trPr>
          <w:jc w:val="center"/>
        </w:trPr>
        <w:tc>
          <w:tcPr>
            <w:tcW w:w="3168" w:type="dxa"/>
            <w:tcMar>
              <w:top w:w="80" w:type="dxa"/>
              <w:left w:w="90" w:type="dxa"/>
              <w:bottom w:w="80" w:type="dxa"/>
              <w:right w:w="90" w:type="dxa"/>
            </w:tcMar>
            <w:vAlign w:val="center"/>
          </w:tcPr>
          <w:p w14:paraId="5B0EB614" w14:textId="77777777" w:rsidR="00823B9D" w:rsidRDefault="00000000">
            <w:pPr>
              <w:spacing w:after="0"/>
            </w:pPr>
            <w:r>
              <w:rPr>
                <w:sz w:val="16"/>
              </w:rPr>
              <w:t>Finance, Markets and Corporate Implementation</w:t>
            </w:r>
          </w:p>
        </w:tc>
        <w:tc>
          <w:tcPr>
            <w:tcW w:w="6840" w:type="dxa"/>
            <w:tcMar>
              <w:top w:w="80" w:type="dxa"/>
              <w:left w:w="90" w:type="dxa"/>
              <w:bottom w:w="80" w:type="dxa"/>
              <w:right w:w="90" w:type="dxa"/>
            </w:tcMar>
            <w:vAlign w:val="center"/>
          </w:tcPr>
          <w:p w14:paraId="5E6C06EA" w14:textId="77777777" w:rsidR="00823B9D" w:rsidRDefault="00000000">
            <w:pPr>
              <w:spacing w:after="0"/>
            </w:pPr>
            <w:r>
              <w:rPr>
                <w:sz w:val="16"/>
              </w:rPr>
              <w:t>Climate and transition finance; bankability; carbon markets; disclosure and assurance; corporate transition plans; ESG governance; incentives; supply-chain due diligence.</w:t>
            </w:r>
          </w:p>
        </w:tc>
      </w:tr>
      <w:tr w:rsidR="00823B9D" w14:paraId="16566BAD" w14:textId="77777777">
        <w:trPr>
          <w:jc w:val="center"/>
        </w:trPr>
        <w:tc>
          <w:tcPr>
            <w:tcW w:w="3168" w:type="dxa"/>
            <w:shd w:val="clear" w:color="auto" w:fill="F4F6F8"/>
            <w:tcMar>
              <w:top w:w="80" w:type="dxa"/>
              <w:left w:w="90" w:type="dxa"/>
              <w:bottom w:w="80" w:type="dxa"/>
              <w:right w:w="90" w:type="dxa"/>
            </w:tcMar>
            <w:vAlign w:val="center"/>
          </w:tcPr>
          <w:p w14:paraId="7636C700" w14:textId="77777777" w:rsidR="00823B9D" w:rsidRDefault="00000000">
            <w:pPr>
              <w:spacing w:after="0"/>
            </w:pPr>
            <w:r>
              <w:rPr>
                <w:sz w:val="16"/>
              </w:rPr>
              <w:t>Circularity, Resources and Place-Based Delivery</w:t>
            </w:r>
          </w:p>
        </w:tc>
        <w:tc>
          <w:tcPr>
            <w:tcW w:w="6840" w:type="dxa"/>
            <w:shd w:val="clear" w:color="auto" w:fill="F4F6F8"/>
            <w:tcMar>
              <w:top w:w="80" w:type="dxa"/>
              <w:left w:w="90" w:type="dxa"/>
              <w:bottom w:w="80" w:type="dxa"/>
              <w:right w:w="90" w:type="dxa"/>
            </w:tcMar>
            <w:vAlign w:val="center"/>
          </w:tcPr>
          <w:p w14:paraId="2E7D41EA" w14:textId="77777777" w:rsidR="00823B9D" w:rsidRDefault="00000000">
            <w:pPr>
              <w:spacing w:after="0"/>
            </w:pPr>
            <w:r>
              <w:rPr>
                <w:sz w:val="16"/>
              </w:rPr>
              <w:t>Circular economy implementation; EPR; industrial symbiosis; waste, water and materials systems; circular construction; urban/regional delivery; critical materials and clean-energy supply chains.</w:t>
            </w:r>
          </w:p>
        </w:tc>
      </w:tr>
      <w:tr w:rsidR="00823B9D" w14:paraId="2BC49E9A" w14:textId="77777777">
        <w:trPr>
          <w:jc w:val="center"/>
        </w:trPr>
        <w:tc>
          <w:tcPr>
            <w:tcW w:w="3168" w:type="dxa"/>
            <w:tcMar>
              <w:top w:w="80" w:type="dxa"/>
              <w:left w:w="90" w:type="dxa"/>
              <w:bottom w:w="80" w:type="dxa"/>
              <w:right w:w="90" w:type="dxa"/>
            </w:tcMar>
            <w:vAlign w:val="center"/>
          </w:tcPr>
          <w:p w14:paraId="0C6D9222" w14:textId="77777777" w:rsidR="00823B9D" w:rsidRDefault="00000000">
            <w:pPr>
              <w:spacing w:after="0"/>
            </w:pPr>
            <w:r>
              <w:rPr>
                <w:sz w:val="16"/>
              </w:rPr>
              <w:t>Digital Sustainability, AI and Verification</w:t>
            </w:r>
          </w:p>
        </w:tc>
        <w:tc>
          <w:tcPr>
            <w:tcW w:w="6840" w:type="dxa"/>
            <w:tcMar>
              <w:top w:w="80" w:type="dxa"/>
              <w:left w:w="90" w:type="dxa"/>
              <w:bottom w:w="80" w:type="dxa"/>
              <w:right w:w="90" w:type="dxa"/>
            </w:tcMar>
            <w:vAlign w:val="center"/>
          </w:tcPr>
          <w:p w14:paraId="628BE45D" w14:textId="77777777" w:rsidR="00823B9D" w:rsidRDefault="00000000">
            <w:pPr>
              <w:spacing w:after="0"/>
            </w:pPr>
            <w:r>
              <w:rPr>
                <w:sz w:val="16"/>
              </w:rPr>
              <w:t>AI-enabled monitoring, reporting and verification; remote sensing; digital twins; IoT; data governance; algorithmic accountability; traceability; digital product passports; automated compliance.</w:t>
            </w:r>
          </w:p>
        </w:tc>
      </w:tr>
      <w:tr w:rsidR="00823B9D" w14:paraId="61E9625C" w14:textId="77777777">
        <w:trPr>
          <w:jc w:val="center"/>
        </w:trPr>
        <w:tc>
          <w:tcPr>
            <w:tcW w:w="3168" w:type="dxa"/>
            <w:shd w:val="clear" w:color="auto" w:fill="F4F6F8"/>
            <w:tcMar>
              <w:top w:w="80" w:type="dxa"/>
              <w:left w:w="90" w:type="dxa"/>
              <w:bottom w:w="80" w:type="dxa"/>
              <w:right w:w="90" w:type="dxa"/>
            </w:tcMar>
            <w:vAlign w:val="center"/>
          </w:tcPr>
          <w:p w14:paraId="3105331E" w14:textId="77777777" w:rsidR="00823B9D" w:rsidRDefault="00000000">
            <w:pPr>
              <w:spacing w:after="0"/>
            </w:pPr>
            <w:r>
              <w:rPr>
                <w:sz w:val="16"/>
              </w:rPr>
              <w:t>Justice, Resilience, Health and Capacity</w:t>
            </w:r>
          </w:p>
        </w:tc>
        <w:tc>
          <w:tcPr>
            <w:tcW w:w="6840" w:type="dxa"/>
            <w:shd w:val="clear" w:color="auto" w:fill="F4F6F8"/>
            <w:tcMar>
              <w:top w:w="80" w:type="dxa"/>
              <w:left w:w="90" w:type="dxa"/>
              <w:bottom w:w="80" w:type="dxa"/>
              <w:right w:w="90" w:type="dxa"/>
            </w:tcMar>
            <w:vAlign w:val="center"/>
          </w:tcPr>
          <w:p w14:paraId="2F86D014" w14:textId="77777777" w:rsidR="00823B9D" w:rsidRDefault="00000000">
            <w:pPr>
              <w:spacing w:after="0"/>
            </w:pPr>
            <w:r>
              <w:rPr>
                <w:sz w:val="16"/>
              </w:rPr>
              <w:t>Just transition implementation; environmental health; climate adaptation delivery; distributional/procedural justice; trust and social licence; organisational capability; skills; community implementation mechanisms.</w:t>
            </w:r>
          </w:p>
        </w:tc>
      </w:tr>
    </w:tbl>
    <w:p w14:paraId="516F4E1E" w14:textId="77777777" w:rsidR="00823B9D" w:rsidRDefault="00823B9D">
      <w:pPr>
        <w:spacing w:after="20"/>
      </w:pPr>
    </w:p>
    <w:p w14:paraId="3614C7EA" w14:textId="77777777" w:rsidR="00823B9D" w:rsidRDefault="00000000">
      <w:pPr>
        <w:pStyle w:val="Heading2"/>
      </w:pPr>
      <w:r>
        <w:t>Out of Scope</w:t>
      </w:r>
    </w:p>
    <w:p w14:paraId="56462EE1" w14:textId="77777777" w:rsidR="00823B9D" w:rsidRDefault="00000000">
      <w:pPr>
        <w:pStyle w:val="ListBullet"/>
        <w:spacing w:after="40"/>
      </w:pPr>
      <w:r>
        <w:t>Purely technical optimisation, materials, laboratory or engineering studies with no substantive implementation or governance contribution.</w:t>
      </w:r>
    </w:p>
    <w:p w14:paraId="5D814388" w14:textId="77777777" w:rsidR="00823B9D" w:rsidRDefault="00000000">
      <w:pPr>
        <w:pStyle w:val="ListBullet"/>
        <w:spacing w:after="40"/>
      </w:pPr>
      <w:r>
        <w:t>Generic sustainability narratives, descriptive SDG mapping or advocacy without analytical contribution.</w:t>
      </w:r>
    </w:p>
    <w:p w14:paraId="4308916C" w14:textId="77777777" w:rsidR="00823B9D" w:rsidRDefault="00000000">
      <w:pPr>
        <w:pStyle w:val="ListBullet"/>
        <w:spacing w:after="40"/>
      </w:pPr>
      <w:r>
        <w:t>Standalone bibliometric or VOSviewer mapping that does not deliver critical synthesis, theory development or a validated research agenda.</w:t>
      </w:r>
    </w:p>
    <w:p w14:paraId="3ABFADFB" w14:textId="77777777" w:rsidR="00823B9D" w:rsidRDefault="00000000">
      <w:pPr>
        <w:pStyle w:val="ListBullet"/>
        <w:spacing w:after="40"/>
      </w:pPr>
      <w:r>
        <w:t>Simple perception surveys with weak construct validation or causal claims unsupported by the study design.</w:t>
      </w:r>
    </w:p>
    <w:p w14:paraId="6682568A" w14:textId="77777777" w:rsidR="00823B9D" w:rsidRDefault="00000000">
      <w:pPr>
        <w:pStyle w:val="ListBullet"/>
        <w:spacing w:after="40"/>
      </w:pPr>
      <w:r>
        <w:t>Local case reports whose findings are not connected to theory, mechanisms, transferability or comparative insight.</w:t>
      </w:r>
    </w:p>
    <w:p w14:paraId="313EDC9A" w14:textId="77777777" w:rsidR="00823B9D" w:rsidRDefault="00000000">
      <w:pPr>
        <w:pStyle w:val="ListBullet"/>
        <w:spacing w:after="40"/>
      </w:pPr>
      <w:r>
        <w:t>ESG/SDG composite indices based on arbitrary weights without validation, sensitivity analysis or governance relevance.</w:t>
      </w:r>
    </w:p>
    <w:p w14:paraId="53A1CC12" w14:textId="77777777" w:rsidR="00823B9D" w:rsidRDefault="00000000">
      <w:pPr>
        <w:pStyle w:val="ListBullet"/>
        <w:spacing w:after="40"/>
      </w:pPr>
      <w:r>
        <w:lastRenderedPageBreak/>
        <w:t>Pure corporate reporting studies unless they explain implementation, assurance, decision consequences or performance outcomes.</w:t>
      </w:r>
    </w:p>
    <w:p w14:paraId="011EBD5D" w14:textId="77777777" w:rsidR="00823B9D" w:rsidRDefault="00000000">
      <w:pPr>
        <w:pStyle w:val="Heading1"/>
      </w:pPr>
      <w:r>
        <w:t>2. JSGI Editorial Fit Framework</w:t>
      </w:r>
    </w:p>
    <w:p w14:paraId="13533EB4" w14:textId="77777777" w:rsidR="00823B9D" w:rsidRDefault="00000000">
      <w:pPr>
        <w:jc w:val="both"/>
      </w:pPr>
      <w:r>
        <w:t>JSGI uses a four-dimension editorial fit framework to maintain a clear intellectual identity while welcoming interdisciplinary methods and sectors. Authors should ensure that the manuscript makes an explicit contribution across this chain.</w:t>
      </w:r>
    </w:p>
    <w:tbl>
      <w:tblPr>
        <w:tblW w:w="0" w:type="auto"/>
        <w:jc w:val="center"/>
        <w:tblBorders>
          <w:top w:val="single" w:sz="5" w:space="0" w:color="CCD5DE"/>
          <w:left w:val="single" w:sz="5" w:space="0" w:color="CCD5DE"/>
          <w:bottom w:val="single" w:sz="5" w:space="0" w:color="CCD5DE"/>
          <w:right w:val="single" w:sz="5" w:space="0" w:color="CCD5DE"/>
          <w:insideH w:val="single" w:sz="5" w:space="0" w:color="CCD5DE"/>
          <w:insideV w:val="single" w:sz="5" w:space="0" w:color="CCD5DE"/>
        </w:tblBorders>
        <w:tblLook w:val="04A0" w:firstRow="1" w:lastRow="0" w:firstColumn="1" w:lastColumn="0" w:noHBand="0" w:noVBand="1"/>
      </w:tblPr>
      <w:tblGrid>
        <w:gridCol w:w="3240"/>
        <w:gridCol w:w="6768"/>
      </w:tblGrid>
      <w:tr w:rsidR="00823B9D" w14:paraId="765F9864" w14:textId="77777777">
        <w:trPr>
          <w:tblHeader/>
          <w:jc w:val="center"/>
        </w:trPr>
        <w:tc>
          <w:tcPr>
            <w:tcW w:w="3240" w:type="dxa"/>
            <w:shd w:val="clear" w:color="auto" w:fill="0B376D"/>
            <w:tcMar>
              <w:top w:w="90" w:type="dxa"/>
              <w:left w:w="100" w:type="dxa"/>
              <w:bottom w:w="90" w:type="dxa"/>
              <w:right w:w="100" w:type="dxa"/>
            </w:tcMar>
          </w:tcPr>
          <w:p w14:paraId="7B992F6B" w14:textId="77777777" w:rsidR="00823B9D" w:rsidRDefault="00000000">
            <w:pPr>
              <w:spacing w:after="0"/>
            </w:pPr>
            <w:r>
              <w:rPr>
                <w:b/>
                <w:color w:val="FFFFFF"/>
                <w:sz w:val="17"/>
              </w:rPr>
              <w:t>Dimension</w:t>
            </w:r>
          </w:p>
        </w:tc>
        <w:tc>
          <w:tcPr>
            <w:tcW w:w="6768" w:type="dxa"/>
            <w:shd w:val="clear" w:color="auto" w:fill="0B376D"/>
            <w:tcMar>
              <w:top w:w="90" w:type="dxa"/>
              <w:left w:w="100" w:type="dxa"/>
              <w:bottom w:w="90" w:type="dxa"/>
              <w:right w:w="100" w:type="dxa"/>
            </w:tcMar>
          </w:tcPr>
          <w:p w14:paraId="3EBD11C5" w14:textId="77777777" w:rsidR="00823B9D" w:rsidRDefault="00000000">
            <w:pPr>
              <w:spacing w:after="0"/>
            </w:pPr>
            <w:r>
              <w:rPr>
                <w:b/>
                <w:color w:val="FFFFFF"/>
                <w:sz w:val="17"/>
              </w:rPr>
              <w:t>Core question</w:t>
            </w:r>
          </w:p>
        </w:tc>
      </w:tr>
      <w:tr w:rsidR="00823B9D" w14:paraId="75265A12" w14:textId="77777777">
        <w:trPr>
          <w:jc w:val="center"/>
        </w:trPr>
        <w:tc>
          <w:tcPr>
            <w:tcW w:w="3240" w:type="dxa"/>
            <w:tcMar>
              <w:top w:w="80" w:type="dxa"/>
              <w:left w:w="90" w:type="dxa"/>
              <w:bottom w:w="80" w:type="dxa"/>
              <w:right w:w="90" w:type="dxa"/>
            </w:tcMar>
            <w:vAlign w:val="center"/>
          </w:tcPr>
          <w:p w14:paraId="4C662EC3" w14:textId="77777777" w:rsidR="00823B9D" w:rsidRDefault="00000000">
            <w:pPr>
              <w:spacing w:after="0"/>
            </w:pPr>
            <w:r>
              <w:rPr>
                <w:sz w:val="17"/>
              </w:rPr>
              <w:t>1. Sustainability system / intervention</w:t>
            </w:r>
          </w:p>
        </w:tc>
        <w:tc>
          <w:tcPr>
            <w:tcW w:w="6768" w:type="dxa"/>
            <w:tcMar>
              <w:top w:w="80" w:type="dxa"/>
              <w:left w:w="90" w:type="dxa"/>
              <w:bottom w:w="80" w:type="dxa"/>
              <w:right w:w="90" w:type="dxa"/>
            </w:tcMar>
            <w:vAlign w:val="center"/>
          </w:tcPr>
          <w:p w14:paraId="071CC10A" w14:textId="77777777" w:rsidR="00823B9D" w:rsidRDefault="00000000">
            <w:pPr>
              <w:spacing w:after="0"/>
            </w:pPr>
            <w:r>
              <w:rPr>
                <w:sz w:val="17"/>
              </w:rPr>
              <w:t>What sustainability system, intervention or outcome is being changed?</w:t>
            </w:r>
          </w:p>
        </w:tc>
      </w:tr>
      <w:tr w:rsidR="00823B9D" w14:paraId="1C3F36FD" w14:textId="77777777">
        <w:trPr>
          <w:jc w:val="center"/>
        </w:trPr>
        <w:tc>
          <w:tcPr>
            <w:tcW w:w="3240" w:type="dxa"/>
            <w:shd w:val="clear" w:color="auto" w:fill="F4F6F8"/>
            <w:tcMar>
              <w:top w:w="80" w:type="dxa"/>
              <w:left w:w="90" w:type="dxa"/>
              <w:bottom w:w="80" w:type="dxa"/>
              <w:right w:w="90" w:type="dxa"/>
            </w:tcMar>
            <w:vAlign w:val="center"/>
          </w:tcPr>
          <w:p w14:paraId="5B5A62A4" w14:textId="77777777" w:rsidR="00823B9D" w:rsidRDefault="00000000">
            <w:pPr>
              <w:spacing w:after="0"/>
            </w:pPr>
            <w:r>
              <w:rPr>
                <w:sz w:val="17"/>
              </w:rPr>
              <w:t>2. Implementation</w:t>
            </w:r>
          </w:p>
        </w:tc>
        <w:tc>
          <w:tcPr>
            <w:tcW w:w="6768" w:type="dxa"/>
            <w:shd w:val="clear" w:color="auto" w:fill="F4F6F8"/>
            <w:tcMar>
              <w:top w:w="80" w:type="dxa"/>
              <w:left w:w="90" w:type="dxa"/>
              <w:bottom w:w="80" w:type="dxa"/>
              <w:right w:w="90" w:type="dxa"/>
            </w:tcMar>
            <w:vAlign w:val="center"/>
          </w:tcPr>
          <w:p w14:paraId="35872264" w14:textId="77777777" w:rsidR="00823B9D" w:rsidRDefault="00000000">
            <w:pPr>
              <w:spacing w:after="0"/>
            </w:pPr>
            <w:r>
              <w:rPr>
                <w:sz w:val="17"/>
              </w:rPr>
              <w:t>How is the intervention implemented, adopted, institutionalised or scaled?</w:t>
            </w:r>
          </w:p>
        </w:tc>
      </w:tr>
      <w:tr w:rsidR="00823B9D" w14:paraId="249C46E5" w14:textId="77777777">
        <w:trPr>
          <w:jc w:val="center"/>
        </w:trPr>
        <w:tc>
          <w:tcPr>
            <w:tcW w:w="3240" w:type="dxa"/>
            <w:tcMar>
              <w:top w:w="80" w:type="dxa"/>
              <w:left w:w="90" w:type="dxa"/>
              <w:bottom w:w="80" w:type="dxa"/>
              <w:right w:w="90" w:type="dxa"/>
            </w:tcMar>
            <w:vAlign w:val="center"/>
          </w:tcPr>
          <w:p w14:paraId="402D4786" w14:textId="77777777" w:rsidR="00823B9D" w:rsidRDefault="00000000">
            <w:pPr>
              <w:spacing w:after="0"/>
            </w:pPr>
            <w:r>
              <w:rPr>
                <w:sz w:val="17"/>
              </w:rPr>
              <w:t>3. Governance</w:t>
            </w:r>
          </w:p>
        </w:tc>
        <w:tc>
          <w:tcPr>
            <w:tcW w:w="6768" w:type="dxa"/>
            <w:tcMar>
              <w:top w:w="80" w:type="dxa"/>
              <w:left w:w="90" w:type="dxa"/>
              <w:bottom w:w="80" w:type="dxa"/>
              <w:right w:w="90" w:type="dxa"/>
            </w:tcMar>
            <w:vAlign w:val="center"/>
          </w:tcPr>
          <w:p w14:paraId="241DC1B0" w14:textId="77777777" w:rsidR="00823B9D" w:rsidRDefault="00000000">
            <w:pPr>
              <w:spacing w:after="0"/>
            </w:pPr>
            <w:r>
              <w:rPr>
                <w:sz w:val="17"/>
              </w:rPr>
              <w:t>Which governance, finance, accountability, policy or organisational mechanisms shape performance?</w:t>
            </w:r>
          </w:p>
        </w:tc>
      </w:tr>
      <w:tr w:rsidR="00823B9D" w14:paraId="4FD8FA80" w14:textId="77777777">
        <w:trPr>
          <w:jc w:val="center"/>
        </w:trPr>
        <w:tc>
          <w:tcPr>
            <w:tcW w:w="3240" w:type="dxa"/>
            <w:shd w:val="clear" w:color="auto" w:fill="F4F6F8"/>
            <w:tcMar>
              <w:top w:w="80" w:type="dxa"/>
              <w:left w:w="90" w:type="dxa"/>
              <w:bottom w:w="80" w:type="dxa"/>
              <w:right w:w="90" w:type="dxa"/>
            </w:tcMar>
            <w:vAlign w:val="center"/>
          </w:tcPr>
          <w:p w14:paraId="1A587D62" w14:textId="77777777" w:rsidR="00823B9D" w:rsidRDefault="00000000">
            <w:pPr>
              <w:spacing w:after="0"/>
            </w:pPr>
            <w:r>
              <w:rPr>
                <w:sz w:val="17"/>
              </w:rPr>
              <w:t>4. Verified outcomes</w:t>
            </w:r>
          </w:p>
        </w:tc>
        <w:tc>
          <w:tcPr>
            <w:tcW w:w="6768" w:type="dxa"/>
            <w:shd w:val="clear" w:color="auto" w:fill="F4F6F8"/>
            <w:tcMar>
              <w:top w:w="80" w:type="dxa"/>
              <w:left w:w="90" w:type="dxa"/>
              <w:bottom w:w="80" w:type="dxa"/>
              <w:right w:w="90" w:type="dxa"/>
            </w:tcMar>
            <w:vAlign w:val="center"/>
          </w:tcPr>
          <w:p w14:paraId="4FCEE94C" w14:textId="77777777" w:rsidR="00823B9D" w:rsidRDefault="00000000">
            <w:pPr>
              <w:spacing w:after="0"/>
            </w:pPr>
            <w:r>
              <w:rPr>
                <w:sz w:val="17"/>
              </w:rPr>
              <w:t>What verified outcomes, trade-offs, failures or transferable lessons result?</w:t>
            </w:r>
          </w:p>
        </w:tc>
      </w:tr>
    </w:tbl>
    <w:p w14:paraId="520EDDEF" w14:textId="77777777" w:rsidR="00823B9D" w:rsidRDefault="00823B9D">
      <w:pPr>
        <w:spacing w:after="20"/>
      </w:pPr>
    </w:p>
    <w:tbl>
      <w:tblPr>
        <w:tblW w:w="0" w:type="auto"/>
        <w:jc w:val="center"/>
        <w:tblBorders>
          <w:top w:val="single" w:sz="8" w:space="0" w:color="0B8178"/>
          <w:left w:val="single" w:sz="8" w:space="0" w:color="0B8178"/>
          <w:bottom w:val="single" w:sz="8" w:space="0" w:color="0B8178"/>
          <w:right w:val="single" w:sz="8" w:space="0" w:color="0B8178"/>
          <w:insideH w:val="single" w:sz="8" w:space="0" w:color="0B8178"/>
          <w:insideV w:val="single" w:sz="8" w:space="0" w:color="0B8178"/>
        </w:tblBorders>
        <w:tblLook w:val="04A0" w:firstRow="1" w:lastRow="0" w:firstColumn="1" w:lastColumn="0" w:noHBand="0" w:noVBand="1"/>
      </w:tblPr>
      <w:tblGrid>
        <w:gridCol w:w="10146"/>
      </w:tblGrid>
      <w:tr w:rsidR="00823B9D" w14:paraId="330F8109" w14:textId="77777777" w:rsidTr="00B03CBA">
        <w:trPr>
          <w:jc w:val="center"/>
        </w:trPr>
        <w:tc>
          <w:tcPr>
            <w:tcW w:w="10166" w:type="dxa"/>
            <w:tcMar>
              <w:top w:w="120" w:type="dxa"/>
              <w:left w:w="130" w:type="dxa"/>
              <w:bottom w:w="120" w:type="dxa"/>
              <w:right w:w="130" w:type="dxa"/>
            </w:tcMar>
          </w:tcPr>
          <w:p w14:paraId="1F650712" w14:textId="77777777" w:rsidR="00823B9D" w:rsidRDefault="00000000">
            <w:pPr>
              <w:spacing w:after="40"/>
            </w:pPr>
            <w:r>
              <w:rPr>
                <w:b/>
                <w:color w:val="0B376D"/>
              </w:rPr>
              <w:t>Editorial principle</w:t>
            </w:r>
          </w:p>
          <w:p w14:paraId="01CD10F0" w14:textId="77777777" w:rsidR="00823B9D" w:rsidRDefault="00000000">
            <w:pPr>
              <w:spacing w:after="0"/>
              <w:jc w:val="both"/>
            </w:pPr>
            <w:r>
              <w:rPr>
                <w:sz w:val="19"/>
              </w:rPr>
              <w:t>A manuscript does not need equal emphasis on all four dimensions, but sustainability alone is not sufficient for scope. Strong submissions connect implementation and/or governance mechanisms to evidence of performance, consequences, failure, learning, verification or scale.</w:t>
            </w:r>
          </w:p>
        </w:tc>
      </w:tr>
    </w:tbl>
    <w:p w14:paraId="74D5F270" w14:textId="77777777" w:rsidR="00823B9D" w:rsidRDefault="00823B9D">
      <w:pPr>
        <w:spacing w:after="0"/>
      </w:pPr>
    </w:p>
    <w:p w14:paraId="4EC29E0F" w14:textId="77777777" w:rsidR="00823B9D" w:rsidRDefault="00000000">
      <w:pPr>
        <w:pStyle w:val="Heading1"/>
      </w:pPr>
      <w:r>
        <w:t>3. Peer Review and Editorial Process</w:t>
      </w:r>
    </w:p>
    <w:p w14:paraId="1B368A88" w14:textId="77777777" w:rsidR="00823B9D" w:rsidRDefault="00000000">
      <w:pPr>
        <w:jc w:val="both"/>
      </w:pPr>
      <w:r>
        <w:t>All submissions undergo initial technical and editorial screening. Manuscripts that pass the scope and quality threshold proceed to double-anonymous external peer review. Research articles will normally be reviewed by at least two independent substantive reviewers. Editors will recuse themselves where conflicts exist, and editor- or board-authored papers will be handled independently.</w:t>
      </w:r>
    </w:p>
    <w:p w14:paraId="166D3829" w14:textId="77777777" w:rsidR="00823B9D" w:rsidRDefault="00000000">
      <w:pPr>
        <w:pStyle w:val="ListBullet"/>
        <w:spacing w:after="40"/>
      </w:pPr>
      <w:r>
        <w:t>Indicative desk-decision target: within 5–7 calendar days after technical checks.</w:t>
      </w:r>
    </w:p>
    <w:p w14:paraId="77102B92" w14:textId="77777777" w:rsidR="00823B9D" w:rsidRDefault="00000000">
      <w:pPr>
        <w:pStyle w:val="ListBullet"/>
        <w:spacing w:after="40"/>
      </w:pPr>
      <w:r>
        <w:t>Peer review is based on originality, method, evidence, transferability, outcome relevance, integrity and fit with JSGI.</w:t>
      </w:r>
    </w:p>
    <w:p w14:paraId="42648676" w14:textId="77777777" w:rsidR="00823B9D" w:rsidRDefault="00000000">
      <w:pPr>
        <w:pStyle w:val="ListBullet"/>
        <w:spacing w:after="40"/>
      </w:pPr>
      <w:r>
        <w:t>Methods or statistical review may be requested for high-stakes quantitative claims.</w:t>
      </w:r>
    </w:p>
    <w:p w14:paraId="25873177" w14:textId="77777777" w:rsidR="00823B9D" w:rsidRDefault="00000000">
      <w:pPr>
        <w:pStyle w:val="ListBullet"/>
        <w:spacing w:after="40"/>
      </w:pPr>
      <w:r>
        <w:t>Guest-edited collections remain under central editorial governance and the same quality standards as regular articles.</w:t>
      </w:r>
    </w:p>
    <w:p w14:paraId="4E81587A" w14:textId="77777777" w:rsidR="00823B9D" w:rsidRDefault="00000000">
      <w:pPr>
        <w:pStyle w:val="ListBullet"/>
        <w:spacing w:after="40"/>
      </w:pPr>
      <w:r>
        <w:t>Editorial decisions are based on scholarly quality and relevance; fees or waiver status do not influence decisions.</w:t>
      </w:r>
    </w:p>
    <w:p w14:paraId="532C2DA4" w14:textId="77777777" w:rsidR="00823B9D" w:rsidRDefault="00000000">
      <w:pPr>
        <w:pStyle w:val="Heading1"/>
      </w:pPr>
      <w:r>
        <w:t>4. Preparing Your Manuscript</w:t>
      </w:r>
    </w:p>
    <w:p w14:paraId="60DFC6F1" w14:textId="77777777" w:rsidR="00823B9D" w:rsidRPr="00B03CBA" w:rsidRDefault="00000000">
      <w:pPr>
        <w:pStyle w:val="Heading2"/>
        <w:rPr>
          <w:color w:val="000000" w:themeColor="text1"/>
        </w:rPr>
      </w:pPr>
      <w:r w:rsidRPr="00B03CBA">
        <w:rPr>
          <w:color w:val="000000" w:themeColor="text1"/>
        </w:rPr>
        <w:t>Recommended manuscript structure</w:t>
      </w:r>
    </w:p>
    <w:p w14:paraId="03DFE7A4" w14:textId="77777777" w:rsidR="00823B9D" w:rsidRDefault="00000000">
      <w:pPr>
        <w:pStyle w:val="ListBullet"/>
        <w:spacing w:after="40"/>
      </w:pPr>
      <w:r>
        <w:t>Title page: article title, author names, affiliations, corresponding author and ORCID identifiers.</w:t>
      </w:r>
    </w:p>
    <w:p w14:paraId="3FC63B1F" w14:textId="77777777" w:rsidR="00823B9D" w:rsidRDefault="00000000">
      <w:pPr>
        <w:pStyle w:val="ListBullet"/>
        <w:spacing w:after="40"/>
      </w:pPr>
      <w:r>
        <w:t>Structured abstract and keywords.</w:t>
      </w:r>
    </w:p>
    <w:p w14:paraId="32D6E51C" w14:textId="77777777" w:rsidR="00823B9D" w:rsidRDefault="00000000">
      <w:pPr>
        <w:pStyle w:val="ListBullet"/>
        <w:spacing w:after="40"/>
      </w:pPr>
      <w:r>
        <w:t>Main text: normally Introduction; Critical Literature Review / Conceptual Background; Methodology; Results; Discussion; Conclusions and Implications. Alternative structures are acceptable where methodologically appropriate.</w:t>
      </w:r>
    </w:p>
    <w:p w14:paraId="79203CA2" w14:textId="77777777" w:rsidR="00823B9D" w:rsidRDefault="00000000">
      <w:pPr>
        <w:pStyle w:val="ListBullet"/>
        <w:spacing w:after="40"/>
      </w:pPr>
      <w:r>
        <w:t>Implementation Significance statement for research articles, summarising the practical implementation/governance relevance of the findings.</w:t>
      </w:r>
    </w:p>
    <w:p w14:paraId="64C30E68" w14:textId="77777777" w:rsidR="00823B9D" w:rsidRDefault="00000000">
      <w:pPr>
        <w:pStyle w:val="ListBullet"/>
        <w:spacing w:after="40"/>
      </w:pPr>
      <w:r>
        <w:t>Acknowledgements, funding statement, competing interests, CRediT author contributions, ethics statement where applicable, AI-use disclosure, and data/code/materials availability statement.</w:t>
      </w:r>
    </w:p>
    <w:p w14:paraId="2A0C99DA" w14:textId="77777777" w:rsidR="00823B9D" w:rsidRDefault="00000000">
      <w:pPr>
        <w:pStyle w:val="ListBullet"/>
        <w:spacing w:after="40"/>
      </w:pPr>
      <w:r>
        <w:t>References, appendices and supplementary material as appropriate.</w:t>
      </w:r>
    </w:p>
    <w:p w14:paraId="40771384" w14:textId="5BAD0C0D" w:rsidR="00823B9D" w:rsidRDefault="00000000">
      <w:pPr>
        <w:pStyle w:val="ListBullet"/>
        <w:spacing w:after="40"/>
      </w:pPr>
      <w:r>
        <w:lastRenderedPageBreak/>
        <w:t>Tables and figures with captions and clear in-text citation</w:t>
      </w:r>
      <w:r w:rsidR="00B03CBA">
        <w:t>s</w:t>
      </w:r>
      <w:r>
        <w:t>.</w:t>
      </w:r>
    </w:p>
    <w:p w14:paraId="33348832" w14:textId="77777777" w:rsidR="00823B9D" w:rsidRPr="00B03CBA" w:rsidRDefault="00000000">
      <w:pPr>
        <w:pStyle w:val="Heading2"/>
        <w:rPr>
          <w:color w:val="000000" w:themeColor="text1"/>
        </w:rPr>
      </w:pPr>
      <w:r w:rsidRPr="00B03CBA">
        <w:rPr>
          <w:color w:val="000000" w:themeColor="text1"/>
        </w:rPr>
        <w:t>Language and format</w:t>
      </w:r>
    </w:p>
    <w:p w14:paraId="0159A675" w14:textId="77777777" w:rsidR="00823B9D" w:rsidRDefault="00000000">
      <w:pPr>
        <w:pStyle w:val="ListBullet"/>
        <w:spacing w:after="40"/>
      </w:pPr>
      <w:r>
        <w:t>Manuscripts should be submitted in clear academic English and use consistent spelling and terminology throughout.</w:t>
      </w:r>
    </w:p>
    <w:p w14:paraId="67538422" w14:textId="77777777" w:rsidR="00823B9D" w:rsidRDefault="00000000">
      <w:pPr>
        <w:pStyle w:val="ListBullet"/>
        <w:spacing w:after="40"/>
      </w:pPr>
      <w:r>
        <w:t>Microsoft Word is preferred for the main manuscript. LaTeX may be accepted where supported by the publisher platform, accompanied by a compiled PDF for review.</w:t>
      </w:r>
    </w:p>
    <w:p w14:paraId="0A00FDF3" w14:textId="77777777" w:rsidR="00823B9D" w:rsidRDefault="00000000">
      <w:pPr>
        <w:pStyle w:val="ListBullet"/>
        <w:spacing w:after="40"/>
      </w:pPr>
      <w:r>
        <w:t>Use a readable 11- or 12-point font, continuous page numbering and line numbering where available.</w:t>
      </w:r>
    </w:p>
    <w:p w14:paraId="631AF9F0" w14:textId="77777777" w:rsidR="00823B9D" w:rsidRDefault="00000000">
      <w:pPr>
        <w:pStyle w:val="ListBullet"/>
        <w:spacing w:after="40"/>
      </w:pPr>
      <w:r>
        <w:t>Headings should be concise and consistently hierarchical. Avoid excessive levels of subheadings.</w:t>
      </w:r>
    </w:p>
    <w:p w14:paraId="1CF361E7" w14:textId="77777777" w:rsidR="00823B9D" w:rsidRDefault="00000000">
      <w:pPr>
        <w:pStyle w:val="ListBullet"/>
        <w:spacing w:after="40"/>
      </w:pPr>
      <w:r>
        <w:t>Initial submission should be format-light where the publisher platform permits; consistency and completeness are more important than exact typesetting.</w:t>
      </w:r>
    </w:p>
    <w:p w14:paraId="3FFF9C1B" w14:textId="77777777" w:rsidR="00823B9D" w:rsidRPr="00B03CBA" w:rsidRDefault="00000000">
      <w:pPr>
        <w:pStyle w:val="Heading2"/>
        <w:rPr>
          <w:color w:val="000000" w:themeColor="text1"/>
        </w:rPr>
      </w:pPr>
      <w:r w:rsidRPr="00B03CBA">
        <w:rPr>
          <w:color w:val="000000" w:themeColor="text1"/>
        </w:rPr>
        <w:t>Title, abstract and keywords</w:t>
      </w:r>
    </w:p>
    <w:p w14:paraId="4C1492B2" w14:textId="77777777" w:rsidR="00823B9D" w:rsidRDefault="00000000">
      <w:pPr>
        <w:pStyle w:val="ListBullet"/>
        <w:spacing w:after="40"/>
      </w:pPr>
      <w:r>
        <w:t>Title: concise, informative and specific; avoid unexplained acronyms, promotional language and generic phrases.</w:t>
      </w:r>
    </w:p>
    <w:p w14:paraId="4C4C9D2A" w14:textId="77777777" w:rsidR="00823B9D" w:rsidRDefault="00000000">
      <w:pPr>
        <w:pStyle w:val="ListBullet"/>
        <w:spacing w:after="40"/>
      </w:pPr>
      <w:r>
        <w:t>Structured abstract: normally up to 250 words using Purpose; Design/methodology/approach; Findings; Research limitations/implications (if applicable); Practical/policy implications (if applicable); Social implications (if applicable); and Originality/value.</w:t>
      </w:r>
    </w:p>
    <w:p w14:paraId="323640AE" w14:textId="77777777" w:rsidR="00823B9D" w:rsidRDefault="00000000">
      <w:pPr>
        <w:pStyle w:val="ListBullet"/>
        <w:spacing w:after="40"/>
      </w:pPr>
      <w:r>
        <w:t>Keywords: normally 5–8 focused terms that support discoverability and accurately represent the paper.</w:t>
      </w:r>
    </w:p>
    <w:p w14:paraId="665C26AE" w14:textId="77777777" w:rsidR="00823B9D" w:rsidRDefault="00000000">
      <w:pPr>
        <w:pStyle w:val="ListBullet"/>
        <w:spacing w:after="40"/>
      </w:pPr>
      <w:r>
        <w:t>Graphical abstract: encouraged for research articles where it improves understanding of the implementation pathway or main findings.</w:t>
      </w:r>
    </w:p>
    <w:p w14:paraId="7844C862" w14:textId="77777777" w:rsidR="00823B9D" w:rsidRDefault="00000000">
      <w:pPr>
        <w:pStyle w:val="Heading1"/>
      </w:pPr>
      <w:r>
        <w:t>5. Article Types</w:t>
      </w:r>
    </w:p>
    <w:tbl>
      <w:tblPr>
        <w:tblW w:w="0" w:type="auto"/>
        <w:jc w:val="center"/>
        <w:tblBorders>
          <w:top w:val="single" w:sz="5" w:space="0" w:color="CCD5DE"/>
          <w:left w:val="single" w:sz="5" w:space="0" w:color="CCD5DE"/>
          <w:bottom w:val="single" w:sz="5" w:space="0" w:color="CCD5DE"/>
          <w:right w:val="single" w:sz="5" w:space="0" w:color="CCD5DE"/>
          <w:insideH w:val="single" w:sz="5" w:space="0" w:color="CCD5DE"/>
          <w:insideV w:val="single" w:sz="5" w:space="0" w:color="CCD5DE"/>
        </w:tblBorders>
        <w:tblLook w:val="04A0" w:firstRow="1" w:lastRow="0" w:firstColumn="1" w:lastColumn="0" w:noHBand="0" w:noVBand="1"/>
      </w:tblPr>
      <w:tblGrid>
        <w:gridCol w:w="2363"/>
        <w:gridCol w:w="6498"/>
        <w:gridCol w:w="1293"/>
      </w:tblGrid>
      <w:tr w:rsidR="00823B9D" w14:paraId="33A915EC" w14:textId="77777777">
        <w:trPr>
          <w:tblHeader/>
          <w:jc w:val="center"/>
        </w:trPr>
        <w:tc>
          <w:tcPr>
            <w:tcW w:w="2376" w:type="dxa"/>
            <w:shd w:val="clear" w:color="auto" w:fill="0B8178"/>
            <w:tcMar>
              <w:top w:w="90" w:type="dxa"/>
              <w:left w:w="100" w:type="dxa"/>
              <w:bottom w:w="90" w:type="dxa"/>
              <w:right w:w="100" w:type="dxa"/>
            </w:tcMar>
          </w:tcPr>
          <w:p w14:paraId="01C85C61" w14:textId="77777777" w:rsidR="00823B9D" w:rsidRDefault="00000000">
            <w:pPr>
              <w:spacing w:after="0"/>
            </w:pPr>
            <w:r>
              <w:rPr>
                <w:b/>
                <w:color w:val="FFFFFF"/>
                <w:sz w:val="17"/>
              </w:rPr>
              <w:t>JSGI format</w:t>
            </w:r>
          </w:p>
        </w:tc>
        <w:tc>
          <w:tcPr>
            <w:tcW w:w="6552" w:type="dxa"/>
            <w:shd w:val="clear" w:color="auto" w:fill="0B8178"/>
            <w:tcMar>
              <w:top w:w="90" w:type="dxa"/>
              <w:left w:w="100" w:type="dxa"/>
              <w:bottom w:w="90" w:type="dxa"/>
              <w:right w:w="100" w:type="dxa"/>
            </w:tcMar>
          </w:tcPr>
          <w:p w14:paraId="7E8CA39E" w14:textId="77777777" w:rsidR="00823B9D" w:rsidRDefault="00000000">
            <w:pPr>
              <w:spacing w:after="0"/>
            </w:pPr>
            <w:r>
              <w:rPr>
                <w:b/>
                <w:color w:val="FFFFFF"/>
                <w:sz w:val="17"/>
              </w:rPr>
              <w:t>Purpose</w:t>
            </w:r>
          </w:p>
        </w:tc>
        <w:tc>
          <w:tcPr>
            <w:tcW w:w="1296" w:type="dxa"/>
            <w:shd w:val="clear" w:color="auto" w:fill="0B8178"/>
            <w:tcMar>
              <w:top w:w="90" w:type="dxa"/>
              <w:left w:w="100" w:type="dxa"/>
              <w:bottom w:w="90" w:type="dxa"/>
              <w:right w:w="100" w:type="dxa"/>
            </w:tcMar>
          </w:tcPr>
          <w:p w14:paraId="746DCEF2" w14:textId="77777777" w:rsidR="00823B9D" w:rsidRDefault="00000000">
            <w:pPr>
              <w:spacing w:after="0"/>
            </w:pPr>
            <w:r>
              <w:rPr>
                <w:b/>
                <w:color w:val="FFFFFF"/>
                <w:sz w:val="17"/>
              </w:rPr>
              <w:t>Indicative words*</w:t>
            </w:r>
          </w:p>
        </w:tc>
      </w:tr>
      <w:tr w:rsidR="00823B9D" w14:paraId="09C1E6BC" w14:textId="77777777">
        <w:trPr>
          <w:jc w:val="center"/>
        </w:trPr>
        <w:tc>
          <w:tcPr>
            <w:tcW w:w="2376" w:type="dxa"/>
            <w:tcMar>
              <w:top w:w="80" w:type="dxa"/>
              <w:left w:w="90" w:type="dxa"/>
              <w:bottom w:w="80" w:type="dxa"/>
              <w:right w:w="90" w:type="dxa"/>
            </w:tcMar>
            <w:vAlign w:val="center"/>
          </w:tcPr>
          <w:p w14:paraId="78BAC9E2" w14:textId="77777777" w:rsidR="00823B9D" w:rsidRDefault="00000000">
            <w:pPr>
              <w:spacing w:after="0"/>
            </w:pPr>
            <w:r>
              <w:rPr>
                <w:sz w:val="15"/>
              </w:rPr>
              <w:t>Implementation Evidence</w:t>
            </w:r>
          </w:p>
        </w:tc>
        <w:tc>
          <w:tcPr>
            <w:tcW w:w="6552" w:type="dxa"/>
            <w:tcMar>
              <w:top w:w="80" w:type="dxa"/>
              <w:left w:w="90" w:type="dxa"/>
              <w:bottom w:w="80" w:type="dxa"/>
              <w:right w:w="90" w:type="dxa"/>
            </w:tcMar>
            <w:vAlign w:val="center"/>
          </w:tcPr>
          <w:p w14:paraId="30DFEA6C" w14:textId="77777777" w:rsidR="00823B9D" w:rsidRDefault="00000000">
            <w:pPr>
              <w:spacing w:after="0"/>
            </w:pPr>
            <w:r>
              <w:rPr>
                <w:sz w:val="15"/>
              </w:rPr>
              <w:t>Empirical evaluation of how a sustainability intervention was delivered, with mechanism, context and outcome evidence.</w:t>
            </w:r>
          </w:p>
        </w:tc>
        <w:tc>
          <w:tcPr>
            <w:tcW w:w="1296" w:type="dxa"/>
            <w:tcMar>
              <w:top w:w="80" w:type="dxa"/>
              <w:left w:w="90" w:type="dxa"/>
              <w:bottom w:w="80" w:type="dxa"/>
              <w:right w:w="90" w:type="dxa"/>
            </w:tcMar>
            <w:vAlign w:val="center"/>
          </w:tcPr>
          <w:p w14:paraId="19310CB9" w14:textId="77777777" w:rsidR="00823B9D" w:rsidRDefault="00000000">
            <w:pPr>
              <w:spacing w:after="0"/>
            </w:pPr>
            <w:r>
              <w:rPr>
                <w:sz w:val="15"/>
              </w:rPr>
              <w:t>6,000–9,000</w:t>
            </w:r>
          </w:p>
        </w:tc>
      </w:tr>
      <w:tr w:rsidR="00823B9D" w14:paraId="4698E99C" w14:textId="77777777">
        <w:trPr>
          <w:jc w:val="center"/>
        </w:trPr>
        <w:tc>
          <w:tcPr>
            <w:tcW w:w="2376" w:type="dxa"/>
            <w:shd w:val="clear" w:color="auto" w:fill="F4F6F8"/>
            <w:tcMar>
              <w:top w:w="80" w:type="dxa"/>
              <w:left w:w="90" w:type="dxa"/>
              <w:bottom w:w="80" w:type="dxa"/>
              <w:right w:w="90" w:type="dxa"/>
            </w:tcMar>
            <w:vAlign w:val="center"/>
          </w:tcPr>
          <w:p w14:paraId="6EBD5F62" w14:textId="77777777" w:rsidR="00823B9D" w:rsidRDefault="00000000">
            <w:pPr>
              <w:spacing w:after="0"/>
            </w:pPr>
            <w:r>
              <w:rPr>
                <w:sz w:val="15"/>
              </w:rPr>
              <w:t>Policy-to-Performance</w:t>
            </w:r>
          </w:p>
        </w:tc>
        <w:tc>
          <w:tcPr>
            <w:tcW w:w="6552" w:type="dxa"/>
            <w:shd w:val="clear" w:color="auto" w:fill="F4F6F8"/>
            <w:tcMar>
              <w:top w:w="80" w:type="dxa"/>
              <w:left w:w="90" w:type="dxa"/>
              <w:bottom w:w="80" w:type="dxa"/>
              <w:right w:w="90" w:type="dxa"/>
            </w:tcMar>
            <w:vAlign w:val="center"/>
          </w:tcPr>
          <w:p w14:paraId="72012F6E" w14:textId="77777777" w:rsidR="00823B9D" w:rsidRDefault="00000000">
            <w:pPr>
              <w:spacing w:after="0"/>
            </w:pPr>
            <w:r>
              <w:rPr>
                <w:sz w:val="15"/>
              </w:rPr>
              <w:t>Links policy design or regulation to measurable implementation and outcome data.</w:t>
            </w:r>
          </w:p>
        </w:tc>
        <w:tc>
          <w:tcPr>
            <w:tcW w:w="1296" w:type="dxa"/>
            <w:shd w:val="clear" w:color="auto" w:fill="F4F6F8"/>
            <w:tcMar>
              <w:top w:w="80" w:type="dxa"/>
              <w:left w:w="90" w:type="dxa"/>
              <w:bottom w:w="80" w:type="dxa"/>
              <w:right w:w="90" w:type="dxa"/>
            </w:tcMar>
            <w:vAlign w:val="center"/>
          </w:tcPr>
          <w:p w14:paraId="32858054" w14:textId="77777777" w:rsidR="00823B9D" w:rsidRDefault="00000000">
            <w:pPr>
              <w:spacing w:after="0"/>
            </w:pPr>
            <w:r>
              <w:rPr>
                <w:sz w:val="15"/>
              </w:rPr>
              <w:t>6,000–9,000</w:t>
            </w:r>
          </w:p>
        </w:tc>
      </w:tr>
      <w:tr w:rsidR="00823B9D" w14:paraId="383C4EA7" w14:textId="77777777">
        <w:trPr>
          <w:jc w:val="center"/>
        </w:trPr>
        <w:tc>
          <w:tcPr>
            <w:tcW w:w="2376" w:type="dxa"/>
            <w:tcMar>
              <w:top w:w="80" w:type="dxa"/>
              <w:left w:w="90" w:type="dxa"/>
              <w:bottom w:w="80" w:type="dxa"/>
              <w:right w:w="90" w:type="dxa"/>
            </w:tcMar>
            <w:vAlign w:val="center"/>
          </w:tcPr>
          <w:p w14:paraId="7346F05E" w14:textId="77777777" w:rsidR="00823B9D" w:rsidRDefault="00000000">
            <w:pPr>
              <w:spacing w:after="0"/>
            </w:pPr>
            <w:r>
              <w:rPr>
                <w:sz w:val="15"/>
              </w:rPr>
              <w:t>Scale-Up Study</w:t>
            </w:r>
          </w:p>
        </w:tc>
        <w:tc>
          <w:tcPr>
            <w:tcW w:w="6552" w:type="dxa"/>
            <w:tcMar>
              <w:top w:w="80" w:type="dxa"/>
              <w:left w:w="90" w:type="dxa"/>
              <w:bottom w:w="80" w:type="dxa"/>
              <w:right w:w="90" w:type="dxa"/>
            </w:tcMar>
            <w:vAlign w:val="center"/>
          </w:tcPr>
          <w:p w14:paraId="0380392B" w14:textId="77777777" w:rsidR="00823B9D" w:rsidRDefault="00000000">
            <w:pPr>
              <w:spacing w:after="0"/>
            </w:pPr>
            <w:r>
              <w:rPr>
                <w:sz w:val="15"/>
              </w:rPr>
              <w:t>Examines replication, diffusion, institutionalisation or transition from pilot to system scale.</w:t>
            </w:r>
          </w:p>
        </w:tc>
        <w:tc>
          <w:tcPr>
            <w:tcW w:w="1296" w:type="dxa"/>
            <w:tcMar>
              <w:top w:w="80" w:type="dxa"/>
              <w:left w:w="90" w:type="dxa"/>
              <w:bottom w:w="80" w:type="dxa"/>
              <w:right w:w="90" w:type="dxa"/>
            </w:tcMar>
            <w:vAlign w:val="center"/>
          </w:tcPr>
          <w:p w14:paraId="691DD334" w14:textId="77777777" w:rsidR="00823B9D" w:rsidRDefault="00000000">
            <w:pPr>
              <w:spacing w:after="0"/>
            </w:pPr>
            <w:r>
              <w:rPr>
                <w:sz w:val="15"/>
              </w:rPr>
              <w:t>6,000–9,000</w:t>
            </w:r>
          </w:p>
        </w:tc>
      </w:tr>
      <w:tr w:rsidR="00823B9D" w14:paraId="2B672ED5" w14:textId="77777777">
        <w:trPr>
          <w:jc w:val="center"/>
        </w:trPr>
        <w:tc>
          <w:tcPr>
            <w:tcW w:w="2376" w:type="dxa"/>
            <w:shd w:val="clear" w:color="auto" w:fill="F4F6F8"/>
            <w:tcMar>
              <w:top w:w="80" w:type="dxa"/>
              <w:left w:w="90" w:type="dxa"/>
              <w:bottom w:w="80" w:type="dxa"/>
              <w:right w:w="90" w:type="dxa"/>
            </w:tcMar>
            <w:vAlign w:val="center"/>
          </w:tcPr>
          <w:p w14:paraId="7CA2318F" w14:textId="77777777" w:rsidR="00823B9D" w:rsidRDefault="00000000">
            <w:pPr>
              <w:spacing w:after="0"/>
            </w:pPr>
            <w:r>
              <w:rPr>
                <w:sz w:val="15"/>
              </w:rPr>
              <w:t>Failure &amp; Learning</w:t>
            </w:r>
          </w:p>
        </w:tc>
        <w:tc>
          <w:tcPr>
            <w:tcW w:w="6552" w:type="dxa"/>
            <w:shd w:val="clear" w:color="auto" w:fill="F4F6F8"/>
            <w:tcMar>
              <w:top w:w="80" w:type="dxa"/>
              <w:left w:w="90" w:type="dxa"/>
              <w:bottom w:w="80" w:type="dxa"/>
              <w:right w:w="90" w:type="dxa"/>
            </w:tcMar>
            <w:vAlign w:val="center"/>
          </w:tcPr>
          <w:p w14:paraId="7554336E" w14:textId="77777777" w:rsidR="00823B9D" w:rsidRDefault="00000000">
            <w:pPr>
              <w:spacing w:after="0"/>
            </w:pPr>
            <w:r>
              <w:rPr>
                <w:sz w:val="15"/>
              </w:rPr>
              <w:t>Rigorous analysis of failed, stalled or underperforming interventions and what can be learned.</w:t>
            </w:r>
          </w:p>
        </w:tc>
        <w:tc>
          <w:tcPr>
            <w:tcW w:w="1296" w:type="dxa"/>
            <w:shd w:val="clear" w:color="auto" w:fill="F4F6F8"/>
            <w:tcMar>
              <w:top w:w="80" w:type="dxa"/>
              <w:left w:w="90" w:type="dxa"/>
              <w:bottom w:w="80" w:type="dxa"/>
              <w:right w:w="90" w:type="dxa"/>
            </w:tcMar>
            <w:vAlign w:val="center"/>
          </w:tcPr>
          <w:p w14:paraId="3A460629" w14:textId="77777777" w:rsidR="00823B9D" w:rsidRDefault="00000000">
            <w:pPr>
              <w:spacing w:after="0"/>
            </w:pPr>
            <w:r>
              <w:rPr>
                <w:sz w:val="15"/>
              </w:rPr>
              <w:t>5,000–8,000</w:t>
            </w:r>
          </w:p>
        </w:tc>
      </w:tr>
      <w:tr w:rsidR="00823B9D" w14:paraId="61A70683" w14:textId="77777777">
        <w:trPr>
          <w:jc w:val="center"/>
        </w:trPr>
        <w:tc>
          <w:tcPr>
            <w:tcW w:w="2376" w:type="dxa"/>
            <w:tcMar>
              <w:top w:w="80" w:type="dxa"/>
              <w:left w:w="90" w:type="dxa"/>
              <w:bottom w:w="80" w:type="dxa"/>
              <w:right w:w="90" w:type="dxa"/>
            </w:tcMar>
            <w:vAlign w:val="center"/>
          </w:tcPr>
          <w:p w14:paraId="307C7659" w14:textId="77777777" w:rsidR="00823B9D" w:rsidRDefault="00000000">
            <w:pPr>
              <w:spacing w:after="0"/>
            </w:pPr>
            <w:r>
              <w:rPr>
                <w:sz w:val="15"/>
              </w:rPr>
              <w:t>Verification &amp; Assurance</w:t>
            </w:r>
          </w:p>
        </w:tc>
        <w:tc>
          <w:tcPr>
            <w:tcW w:w="6552" w:type="dxa"/>
            <w:tcMar>
              <w:top w:w="80" w:type="dxa"/>
              <w:left w:w="90" w:type="dxa"/>
              <w:bottom w:w="80" w:type="dxa"/>
              <w:right w:w="90" w:type="dxa"/>
            </w:tcMar>
            <w:vAlign w:val="center"/>
          </w:tcPr>
          <w:p w14:paraId="31D50D6C" w14:textId="77777777" w:rsidR="00823B9D" w:rsidRDefault="00000000">
            <w:pPr>
              <w:spacing w:after="0"/>
            </w:pPr>
            <w:r>
              <w:rPr>
                <w:sz w:val="15"/>
              </w:rPr>
              <w:t>Methods or empirical studies on MRV, audit, assurance, traceability and performance verification.</w:t>
            </w:r>
          </w:p>
        </w:tc>
        <w:tc>
          <w:tcPr>
            <w:tcW w:w="1296" w:type="dxa"/>
            <w:tcMar>
              <w:top w:w="80" w:type="dxa"/>
              <w:left w:w="90" w:type="dxa"/>
              <w:bottom w:w="80" w:type="dxa"/>
              <w:right w:w="90" w:type="dxa"/>
            </w:tcMar>
            <w:vAlign w:val="center"/>
          </w:tcPr>
          <w:p w14:paraId="5570C0F3" w14:textId="77777777" w:rsidR="00823B9D" w:rsidRDefault="00000000">
            <w:pPr>
              <w:spacing w:after="0"/>
            </w:pPr>
            <w:r>
              <w:rPr>
                <w:sz w:val="15"/>
              </w:rPr>
              <w:t>5,000–8,000</w:t>
            </w:r>
          </w:p>
        </w:tc>
      </w:tr>
      <w:tr w:rsidR="00823B9D" w14:paraId="4331A8FF" w14:textId="77777777">
        <w:trPr>
          <w:jc w:val="center"/>
        </w:trPr>
        <w:tc>
          <w:tcPr>
            <w:tcW w:w="2376" w:type="dxa"/>
            <w:shd w:val="clear" w:color="auto" w:fill="F4F6F8"/>
            <w:tcMar>
              <w:top w:w="80" w:type="dxa"/>
              <w:left w:w="90" w:type="dxa"/>
              <w:bottom w:w="80" w:type="dxa"/>
              <w:right w:w="90" w:type="dxa"/>
            </w:tcMar>
            <w:vAlign w:val="center"/>
          </w:tcPr>
          <w:p w14:paraId="5FB1C06E" w14:textId="77777777" w:rsidR="00823B9D" w:rsidRDefault="00000000">
            <w:pPr>
              <w:spacing w:after="0"/>
            </w:pPr>
            <w:r>
              <w:rPr>
                <w:sz w:val="15"/>
              </w:rPr>
              <w:t>Systems Governance Research</w:t>
            </w:r>
          </w:p>
        </w:tc>
        <w:tc>
          <w:tcPr>
            <w:tcW w:w="6552" w:type="dxa"/>
            <w:shd w:val="clear" w:color="auto" w:fill="F4F6F8"/>
            <w:tcMar>
              <w:top w:w="80" w:type="dxa"/>
              <w:left w:w="90" w:type="dxa"/>
              <w:bottom w:w="80" w:type="dxa"/>
              <w:right w:w="90" w:type="dxa"/>
            </w:tcMar>
            <w:vAlign w:val="center"/>
          </w:tcPr>
          <w:p w14:paraId="41302AEE" w14:textId="77777777" w:rsidR="00823B9D" w:rsidRDefault="00000000">
            <w:pPr>
              <w:spacing w:after="0"/>
            </w:pPr>
            <w:r>
              <w:rPr>
                <w:sz w:val="15"/>
              </w:rPr>
              <w:t>Theory-testing or empirical research on governance mechanisms across complex sustainability systems.</w:t>
            </w:r>
          </w:p>
        </w:tc>
        <w:tc>
          <w:tcPr>
            <w:tcW w:w="1296" w:type="dxa"/>
            <w:shd w:val="clear" w:color="auto" w:fill="F4F6F8"/>
            <w:tcMar>
              <w:top w:w="80" w:type="dxa"/>
              <w:left w:w="90" w:type="dxa"/>
              <w:bottom w:w="80" w:type="dxa"/>
              <w:right w:w="90" w:type="dxa"/>
            </w:tcMar>
            <w:vAlign w:val="center"/>
          </w:tcPr>
          <w:p w14:paraId="6FEBC6AC" w14:textId="77777777" w:rsidR="00823B9D" w:rsidRDefault="00000000">
            <w:pPr>
              <w:spacing w:after="0"/>
            </w:pPr>
            <w:r>
              <w:rPr>
                <w:sz w:val="15"/>
              </w:rPr>
              <w:t>6,000–9,000</w:t>
            </w:r>
          </w:p>
        </w:tc>
      </w:tr>
      <w:tr w:rsidR="00823B9D" w14:paraId="62E4B506" w14:textId="77777777">
        <w:trPr>
          <w:jc w:val="center"/>
        </w:trPr>
        <w:tc>
          <w:tcPr>
            <w:tcW w:w="2376" w:type="dxa"/>
            <w:tcMar>
              <w:top w:w="80" w:type="dxa"/>
              <w:left w:w="90" w:type="dxa"/>
              <w:bottom w:w="80" w:type="dxa"/>
              <w:right w:w="90" w:type="dxa"/>
            </w:tcMar>
            <w:vAlign w:val="center"/>
          </w:tcPr>
          <w:p w14:paraId="632D29DB" w14:textId="77777777" w:rsidR="00823B9D" w:rsidRDefault="00000000">
            <w:pPr>
              <w:spacing w:after="0"/>
            </w:pPr>
            <w:r>
              <w:rPr>
                <w:sz w:val="15"/>
              </w:rPr>
              <w:t>State-of-the-Art Review</w:t>
            </w:r>
          </w:p>
        </w:tc>
        <w:tc>
          <w:tcPr>
            <w:tcW w:w="6552" w:type="dxa"/>
            <w:tcMar>
              <w:top w:w="80" w:type="dxa"/>
              <w:left w:w="90" w:type="dxa"/>
              <w:bottom w:w="80" w:type="dxa"/>
              <w:right w:w="90" w:type="dxa"/>
            </w:tcMar>
            <w:vAlign w:val="center"/>
          </w:tcPr>
          <w:p w14:paraId="56ABB3FD" w14:textId="77777777" w:rsidR="00823B9D" w:rsidRDefault="00000000">
            <w:pPr>
              <w:spacing w:after="0"/>
            </w:pPr>
            <w:r>
              <w:rPr>
                <w:sz w:val="15"/>
              </w:rPr>
              <w:t>Critical review that reorganises a field, integrates evidence and establishes a forward research agenda.</w:t>
            </w:r>
          </w:p>
        </w:tc>
        <w:tc>
          <w:tcPr>
            <w:tcW w:w="1296" w:type="dxa"/>
            <w:tcMar>
              <w:top w:w="80" w:type="dxa"/>
              <w:left w:w="90" w:type="dxa"/>
              <w:bottom w:w="80" w:type="dxa"/>
              <w:right w:w="90" w:type="dxa"/>
            </w:tcMar>
            <w:vAlign w:val="center"/>
          </w:tcPr>
          <w:p w14:paraId="1424CD4D" w14:textId="77777777" w:rsidR="00823B9D" w:rsidRDefault="00000000">
            <w:pPr>
              <w:spacing w:after="0"/>
            </w:pPr>
            <w:r>
              <w:rPr>
                <w:sz w:val="15"/>
              </w:rPr>
              <w:t>8,000–12,000</w:t>
            </w:r>
          </w:p>
        </w:tc>
      </w:tr>
      <w:tr w:rsidR="00823B9D" w14:paraId="34658B93" w14:textId="77777777">
        <w:trPr>
          <w:jc w:val="center"/>
        </w:trPr>
        <w:tc>
          <w:tcPr>
            <w:tcW w:w="2376" w:type="dxa"/>
            <w:shd w:val="clear" w:color="auto" w:fill="F4F6F8"/>
            <w:tcMar>
              <w:top w:w="80" w:type="dxa"/>
              <w:left w:w="90" w:type="dxa"/>
              <w:bottom w:w="80" w:type="dxa"/>
              <w:right w:w="90" w:type="dxa"/>
            </w:tcMar>
            <w:vAlign w:val="center"/>
          </w:tcPr>
          <w:p w14:paraId="7B018DE7" w14:textId="77777777" w:rsidR="00823B9D" w:rsidRDefault="00000000">
            <w:pPr>
              <w:spacing w:after="0"/>
            </w:pPr>
            <w:r>
              <w:rPr>
                <w:sz w:val="15"/>
              </w:rPr>
              <w:t>Methods / Data / Tool</w:t>
            </w:r>
          </w:p>
        </w:tc>
        <w:tc>
          <w:tcPr>
            <w:tcW w:w="6552" w:type="dxa"/>
            <w:shd w:val="clear" w:color="auto" w:fill="F4F6F8"/>
            <w:tcMar>
              <w:top w:w="80" w:type="dxa"/>
              <w:left w:w="90" w:type="dxa"/>
              <w:bottom w:w="80" w:type="dxa"/>
              <w:right w:w="90" w:type="dxa"/>
            </w:tcMar>
            <w:vAlign w:val="center"/>
          </w:tcPr>
          <w:p w14:paraId="05ADD840" w14:textId="77777777" w:rsidR="00823B9D" w:rsidRDefault="00000000">
            <w:pPr>
              <w:spacing w:after="0"/>
            </w:pPr>
            <w:r>
              <w:rPr>
                <w:sz w:val="15"/>
              </w:rPr>
              <w:t>Validated methods, datasets, indicators or digital tools with reusable implementation value.</w:t>
            </w:r>
          </w:p>
        </w:tc>
        <w:tc>
          <w:tcPr>
            <w:tcW w:w="1296" w:type="dxa"/>
            <w:shd w:val="clear" w:color="auto" w:fill="F4F6F8"/>
            <w:tcMar>
              <w:top w:w="80" w:type="dxa"/>
              <w:left w:w="90" w:type="dxa"/>
              <w:bottom w:w="80" w:type="dxa"/>
              <w:right w:w="90" w:type="dxa"/>
            </w:tcMar>
            <w:vAlign w:val="center"/>
          </w:tcPr>
          <w:p w14:paraId="794DAFFE" w14:textId="77777777" w:rsidR="00823B9D" w:rsidRDefault="00000000">
            <w:pPr>
              <w:spacing w:after="0"/>
            </w:pPr>
            <w:r>
              <w:rPr>
                <w:sz w:val="15"/>
              </w:rPr>
              <w:t>4,000–7,000</w:t>
            </w:r>
          </w:p>
        </w:tc>
      </w:tr>
      <w:tr w:rsidR="00823B9D" w14:paraId="25E87CAB" w14:textId="77777777">
        <w:trPr>
          <w:jc w:val="center"/>
        </w:trPr>
        <w:tc>
          <w:tcPr>
            <w:tcW w:w="2376" w:type="dxa"/>
            <w:tcMar>
              <w:top w:w="80" w:type="dxa"/>
              <w:left w:w="90" w:type="dxa"/>
              <w:bottom w:w="80" w:type="dxa"/>
              <w:right w:w="90" w:type="dxa"/>
            </w:tcMar>
            <w:vAlign w:val="center"/>
          </w:tcPr>
          <w:p w14:paraId="36A85A3F" w14:textId="77777777" w:rsidR="00823B9D" w:rsidRDefault="00000000">
            <w:pPr>
              <w:spacing w:after="0"/>
            </w:pPr>
            <w:r>
              <w:rPr>
                <w:sz w:val="15"/>
              </w:rPr>
              <w:t>Perspective / Debate</w:t>
            </w:r>
          </w:p>
        </w:tc>
        <w:tc>
          <w:tcPr>
            <w:tcW w:w="6552" w:type="dxa"/>
            <w:tcMar>
              <w:top w:w="80" w:type="dxa"/>
              <w:left w:w="90" w:type="dxa"/>
              <w:bottom w:w="80" w:type="dxa"/>
              <w:right w:w="90" w:type="dxa"/>
            </w:tcMar>
            <w:vAlign w:val="center"/>
          </w:tcPr>
          <w:p w14:paraId="739B068A" w14:textId="77777777" w:rsidR="00823B9D" w:rsidRDefault="00000000">
            <w:pPr>
              <w:spacing w:after="0"/>
            </w:pPr>
            <w:r>
              <w:rPr>
                <w:sz w:val="15"/>
              </w:rPr>
              <w:t>Concise evidence-led argument on a contested or emergent issue; normally invited or pre-agreed.</w:t>
            </w:r>
          </w:p>
        </w:tc>
        <w:tc>
          <w:tcPr>
            <w:tcW w:w="1296" w:type="dxa"/>
            <w:tcMar>
              <w:top w:w="80" w:type="dxa"/>
              <w:left w:w="90" w:type="dxa"/>
              <w:bottom w:w="80" w:type="dxa"/>
              <w:right w:w="90" w:type="dxa"/>
            </w:tcMar>
            <w:vAlign w:val="center"/>
          </w:tcPr>
          <w:p w14:paraId="1D56CC4E" w14:textId="77777777" w:rsidR="00823B9D" w:rsidRDefault="00000000">
            <w:pPr>
              <w:spacing w:after="0"/>
            </w:pPr>
            <w:r>
              <w:rPr>
                <w:sz w:val="15"/>
              </w:rPr>
              <w:t>2,000–4,000</w:t>
            </w:r>
          </w:p>
        </w:tc>
      </w:tr>
    </w:tbl>
    <w:p w14:paraId="630365AA" w14:textId="77777777" w:rsidR="00823B9D" w:rsidRDefault="00823B9D">
      <w:pPr>
        <w:spacing w:after="20"/>
      </w:pPr>
    </w:p>
    <w:p w14:paraId="146017C8" w14:textId="77777777" w:rsidR="00823B9D" w:rsidRDefault="00000000">
      <w:pPr>
        <w:pStyle w:val="Small"/>
      </w:pPr>
      <w:r>
        <w:t>*Indicative word ranges are proposed editorial guidance and may be refined to align with the publisher’s final house style and platform settings.</w:t>
      </w:r>
    </w:p>
    <w:p w14:paraId="457D1225" w14:textId="77777777" w:rsidR="00823B9D" w:rsidRPr="00B03CBA" w:rsidRDefault="00000000">
      <w:pPr>
        <w:pStyle w:val="Heading2"/>
        <w:rPr>
          <w:color w:val="000000" w:themeColor="text1"/>
        </w:rPr>
      </w:pPr>
      <w:r w:rsidRPr="00B03CBA">
        <w:rPr>
          <w:color w:val="000000" w:themeColor="text1"/>
        </w:rPr>
        <w:t>Review articles</w:t>
      </w:r>
    </w:p>
    <w:p w14:paraId="6A2E0203" w14:textId="77777777" w:rsidR="00823B9D" w:rsidRDefault="00000000">
      <w:pPr>
        <w:jc w:val="both"/>
      </w:pPr>
      <w:r>
        <w:t>Systematic, scoping and evidence reviews are welcome when they answer a clear decision or theory question. Standalone descriptive bibliometric papers should normally be desk rejected. Bibliometrics may be used as one component of a substantive review that delivers conceptual synthesis, causal explanation, methods advancement or an actionable research agenda.</w:t>
      </w:r>
    </w:p>
    <w:p w14:paraId="02100E80" w14:textId="77777777" w:rsidR="00823B9D" w:rsidRDefault="00000000">
      <w:pPr>
        <w:pStyle w:val="Heading1"/>
      </w:pPr>
      <w:r>
        <w:lastRenderedPageBreak/>
        <w:t>6. Research Integrity and Transparency</w:t>
      </w:r>
    </w:p>
    <w:p w14:paraId="3D08FD12" w14:textId="77777777" w:rsidR="00823B9D" w:rsidRDefault="00000000">
      <w:pPr>
        <w:jc w:val="both"/>
      </w:pPr>
      <w:r>
        <w:t>JSGI is designed to operate in alignment with recognised principles of transparency and research integrity, including COPE, DOAJ, OASPA and WAME expectations, subject to the publisher’s final policy framework.</w:t>
      </w:r>
    </w:p>
    <w:p w14:paraId="1CE17AB4" w14:textId="77777777" w:rsidR="00823B9D" w:rsidRPr="00B03CBA" w:rsidRDefault="00000000">
      <w:pPr>
        <w:pStyle w:val="Heading2"/>
        <w:rPr>
          <w:color w:val="000000" w:themeColor="text1"/>
        </w:rPr>
      </w:pPr>
      <w:r w:rsidRPr="00B03CBA">
        <w:rPr>
          <w:color w:val="000000" w:themeColor="text1"/>
        </w:rPr>
        <w:t>Authorship and contributorship</w:t>
      </w:r>
    </w:p>
    <w:p w14:paraId="112D09BC" w14:textId="77777777" w:rsidR="00823B9D" w:rsidRDefault="00000000">
      <w:pPr>
        <w:pStyle w:val="ListBullet"/>
        <w:spacing w:after="40"/>
      </w:pPr>
      <w:r>
        <w:t>All listed authors must meet accepted authorship criteria and approve the submitted version.</w:t>
      </w:r>
    </w:p>
    <w:p w14:paraId="07DB2992" w14:textId="77777777" w:rsidR="00823B9D" w:rsidRDefault="00000000">
      <w:pPr>
        <w:pStyle w:val="ListBullet"/>
        <w:spacing w:after="40"/>
      </w:pPr>
      <w:r>
        <w:t>CRediT contributor roles should be declared for all authors.</w:t>
      </w:r>
    </w:p>
    <w:p w14:paraId="7DD68952" w14:textId="77777777" w:rsidR="00823B9D" w:rsidRDefault="00000000">
      <w:pPr>
        <w:pStyle w:val="ListBullet"/>
        <w:spacing w:after="40"/>
      </w:pPr>
      <w:r>
        <w:t>Corresponding authors should provide a valid ORCID where supported by the submission platform.</w:t>
      </w:r>
    </w:p>
    <w:p w14:paraId="2A5F1357" w14:textId="77777777" w:rsidR="00823B9D" w:rsidRDefault="00000000">
      <w:pPr>
        <w:pStyle w:val="ListBullet"/>
        <w:spacing w:after="40"/>
      </w:pPr>
      <w:r>
        <w:t>Changes to authorship after submission require a clear justification and editorial approval.</w:t>
      </w:r>
    </w:p>
    <w:p w14:paraId="1C75B086" w14:textId="77777777" w:rsidR="00823B9D" w:rsidRPr="00B03CBA" w:rsidRDefault="00000000">
      <w:pPr>
        <w:pStyle w:val="Heading2"/>
        <w:rPr>
          <w:color w:val="000000" w:themeColor="text1"/>
        </w:rPr>
      </w:pPr>
      <w:r w:rsidRPr="00B03CBA">
        <w:rPr>
          <w:color w:val="000000" w:themeColor="text1"/>
        </w:rPr>
        <w:t>Funding and competing interests</w:t>
      </w:r>
    </w:p>
    <w:p w14:paraId="6A01B5D5" w14:textId="77777777" w:rsidR="00823B9D" w:rsidRDefault="00000000">
      <w:pPr>
        <w:pStyle w:val="ListBullet"/>
        <w:spacing w:after="40"/>
      </w:pPr>
      <w:r>
        <w:t>Declare all sources of research funding and describe the sponsor’s role in study design, analysis, interpretation and publication decisions.</w:t>
      </w:r>
    </w:p>
    <w:p w14:paraId="5EA98C36" w14:textId="77777777" w:rsidR="00823B9D" w:rsidRDefault="00000000">
      <w:pPr>
        <w:pStyle w:val="ListBullet"/>
        <w:spacing w:after="40"/>
      </w:pPr>
      <w:r>
        <w:t>Declare financial, professional, institutional or personal interests that could reasonably be perceived to influence the work.</w:t>
      </w:r>
    </w:p>
    <w:p w14:paraId="2974D9AC" w14:textId="77777777" w:rsidR="00823B9D" w:rsidRPr="00B03CBA" w:rsidRDefault="00000000">
      <w:pPr>
        <w:pStyle w:val="Heading2"/>
        <w:rPr>
          <w:color w:val="000000" w:themeColor="text1"/>
        </w:rPr>
      </w:pPr>
      <w:r w:rsidRPr="00B03CBA">
        <w:rPr>
          <w:color w:val="000000" w:themeColor="text1"/>
        </w:rPr>
        <w:t>Ethics and consent</w:t>
      </w:r>
    </w:p>
    <w:p w14:paraId="02CF5E1A" w14:textId="77777777" w:rsidR="00823B9D" w:rsidRDefault="00000000">
      <w:pPr>
        <w:pStyle w:val="ListBullet"/>
        <w:spacing w:after="40"/>
      </w:pPr>
      <w:r>
        <w:t>Research involving humans or animals must state the relevant ethics approval, reference number and consent arrangements where applicable.</w:t>
      </w:r>
    </w:p>
    <w:p w14:paraId="6859AAEA" w14:textId="77777777" w:rsidR="00823B9D" w:rsidRDefault="00000000">
      <w:pPr>
        <w:pStyle w:val="ListBullet"/>
        <w:spacing w:after="40"/>
      </w:pPr>
      <w:r>
        <w:t>Studies involving communities, indigenous/local knowledge or sensitive data should explain appropriate consent, governance and safeguarding measures.</w:t>
      </w:r>
    </w:p>
    <w:p w14:paraId="52FEB7F0" w14:textId="77777777" w:rsidR="00823B9D" w:rsidRDefault="00000000">
      <w:pPr>
        <w:pStyle w:val="ListBullet"/>
        <w:spacing w:after="40"/>
      </w:pPr>
      <w:r>
        <w:t>The journal may request supporting ethics documentation when clarification is required.</w:t>
      </w:r>
    </w:p>
    <w:p w14:paraId="10E3565F" w14:textId="77777777" w:rsidR="00823B9D" w:rsidRPr="00B03CBA" w:rsidRDefault="00000000">
      <w:pPr>
        <w:pStyle w:val="Heading2"/>
        <w:rPr>
          <w:color w:val="000000" w:themeColor="text1"/>
        </w:rPr>
      </w:pPr>
      <w:r w:rsidRPr="00B03CBA">
        <w:rPr>
          <w:color w:val="000000" w:themeColor="text1"/>
        </w:rPr>
        <w:t>Data, code and materials</w:t>
      </w:r>
    </w:p>
    <w:p w14:paraId="7C75285D" w14:textId="77777777" w:rsidR="00823B9D" w:rsidRDefault="00000000">
      <w:pPr>
        <w:jc w:val="both"/>
      </w:pPr>
      <w:r>
        <w:t>All research articles should include a data/code/materials availability statement. Authors are encouraged to deposit reusable materials in trusted repositories where legal, ethical, privacy, commercial or security restrictions do not prevent sharing. Where data cannot be shared, the reason should be stated clearly.</w:t>
      </w:r>
    </w:p>
    <w:p w14:paraId="359A7E48" w14:textId="77777777" w:rsidR="00823B9D" w:rsidRPr="00B03CBA" w:rsidRDefault="00000000">
      <w:pPr>
        <w:pStyle w:val="Heading2"/>
        <w:rPr>
          <w:color w:val="000000" w:themeColor="text1"/>
        </w:rPr>
      </w:pPr>
      <w:r w:rsidRPr="00B03CBA">
        <w:rPr>
          <w:color w:val="000000" w:themeColor="text1"/>
        </w:rPr>
        <w:t>Use of generative AI</w:t>
      </w:r>
    </w:p>
    <w:p w14:paraId="02EB6BCC" w14:textId="77777777" w:rsidR="00823B9D" w:rsidRDefault="00000000">
      <w:pPr>
        <w:pStyle w:val="ListBullet"/>
        <w:spacing w:after="40"/>
      </w:pPr>
      <w:r>
        <w:t>Generative AI tools do not qualify for authorship and must not be listed as authors.</w:t>
      </w:r>
    </w:p>
    <w:p w14:paraId="1C932A35" w14:textId="77777777" w:rsidR="00823B9D" w:rsidRDefault="00000000">
      <w:pPr>
        <w:pStyle w:val="ListBullet"/>
        <w:spacing w:after="40"/>
      </w:pPr>
      <w:r>
        <w:t>Authors must disclose substantive use of generative AI in manuscript preparation, analysis, coding, image generation or other research processes, consistent with the publisher’s policy.</w:t>
      </w:r>
    </w:p>
    <w:p w14:paraId="54C6F677" w14:textId="77777777" w:rsidR="00823B9D" w:rsidRDefault="00000000">
      <w:pPr>
        <w:pStyle w:val="ListBullet"/>
        <w:spacing w:after="40"/>
      </w:pPr>
      <w:r>
        <w:t>Authors remain fully responsible for accuracy, originality, citations, permissions and integrity of all submitted content.</w:t>
      </w:r>
    </w:p>
    <w:p w14:paraId="6FEA2173" w14:textId="77777777" w:rsidR="00823B9D" w:rsidRDefault="00000000">
      <w:pPr>
        <w:pStyle w:val="ListBullet"/>
        <w:spacing w:after="40"/>
      </w:pPr>
      <w:r>
        <w:t>Fabricated references, manipulated evidence or undisclosed AI-generated content may trigger integrity review.</w:t>
      </w:r>
    </w:p>
    <w:p w14:paraId="04121A0A" w14:textId="77777777" w:rsidR="00823B9D" w:rsidRDefault="00000000">
      <w:pPr>
        <w:pStyle w:val="Heading1"/>
      </w:pPr>
      <w:r>
        <w:t>7. Figures, Tables, Notes and References</w:t>
      </w:r>
    </w:p>
    <w:p w14:paraId="457D9C44" w14:textId="77777777" w:rsidR="00823B9D" w:rsidRPr="00B03CBA" w:rsidRDefault="00000000">
      <w:pPr>
        <w:pStyle w:val="Heading2"/>
        <w:rPr>
          <w:color w:val="000000" w:themeColor="text1"/>
        </w:rPr>
      </w:pPr>
      <w:r w:rsidRPr="00B03CBA">
        <w:rPr>
          <w:color w:val="000000" w:themeColor="text1"/>
        </w:rPr>
        <w:t>Figures</w:t>
      </w:r>
    </w:p>
    <w:p w14:paraId="7EE0C41A" w14:textId="77777777" w:rsidR="00823B9D" w:rsidRDefault="00000000">
      <w:pPr>
        <w:pStyle w:val="ListBullet"/>
        <w:spacing w:after="40"/>
      </w:pPr>
      <w:r>
        <w:t>Figures must be original or accompanied by documented permission where required.</w:t>
      </w:r>
    </w:p>
    <w:p w14:paraId="0FD00CC3" w14:textId="77777777" w:rsidR="00823B9D" w:rsidRDefault="00000000">
      <w:pPr>
        <w:pStyle w:val="ListBullet"/>
        <w:spacing w:after="40"/>
      </w:pPr>
      <w:r>
        <w:t>Number figures consecutively and cite every figure in the text before or close to its first appearance.</w:t>
      </w:r>
    </w:p>
    <w:p w14:paraId="3B865D4C" w14:textId="77777777" w:rsidR="00823B9D" w:rsidRDefault="00000000">
      <w:pPr>
        <w:pStyle w:val="ListBullet"/>
        <w:spacing w:after="40"/>
      </w:pPr>
      <w:r>
        <w:t>Use high-resolution, legible graphics. For raster images, at least 300 dpi at intended publication size is recommended.</w:t>
      </w:r>
    </w:p>
    <w:p w14:paraId="2CB5F8E3" w14:textId="77777777" w:rsidR="00823B9D" w:rsidRDefault="00000000">
      <w:pPr>
        <w:pStyle w:val="ListBullet"/>
        <w:spacing w:after="40"/>
      </w:pPr>
      <w:r>
        <w:t>Provide clear captions below figures and define all abbreviations, symbols, units and sources.</w:t>
      </w:r>
    </w:p>
    <w:p w14:paraId="5C19F2DB" w14:textId="77777777" w:rsidR="00823B9D" w:rsidRDefault="00000000">
      <w:pPr>
        <w:pStyle w:val="ListBullet"/>
        <w:spacing w:after="40"/>
      </w:pPr>
      <w:r>
        <w:t>Avoid decorative imagery that does not add analytical value. Charts and diagrams should communicate evidence clearly and remain interpretable in accessible formats.</w:t>
      </w:r>
    </w:p>
    <w:p w14:paraId="6A86A5F4" w14:textId="77777777" w:rsidR="00823B9D" w:rsidRPr="00B03CBA" w:rsidRDefault="00000000">
      <w:pPr>
        <w:pStyle w:val="Heading2"/>
        <w:rPr>
          <w:color w:val="000000" w:themeColor="text1"/>
        </w:rPr>
      </w:pPr>
      <w:r w:rsidRPr="00B03CBA">
        <w:rPr>
          <w:color w:val="000000" w:themeColor="text1"/>
        </w:rPr>
        <w:t>Tables</w:t>
      </w:r>
    </w:p>
    <w:p w14:paraId="4A997F25" w14:textId="77777777" w:rsidR="00823B9D" w:rsidRDefault="00000000">
      <w:pPr>
        <w:pStyle w:val="ListBullet"/>
        <w:spacing w:after="40"/>
      </w:pPr>
      <w:r>
        <w:t>Number tables consecutively and cite every table in the text.</w:t>
      </w:r>
    </w:p>
    <w:p w14:paraId="7DAF91CB" w14:textId="77777777" w:rsidR="00823B9D" w:rsidRDefault="00000000">
      <w:pPr>
        <w:pStyle w:val="ListBullet"/>
        <w:spacing w:after="40"/>
      </w:pPr>
      <w:r>
        <w:t>Place a concise descriptive title above each table.</w:t>
      </w:r>
    </w:p>
    <w:p w14:paraId="53791367" w14:textId="77777777" w:rsidR="00823B9D" w:rsidRDefault="00000000">
      <w:pPr>
        <w:pStyle w:val="ListBullet"/>
        <w:spacing w:after="40"/>
      </w:pPr>
      <w:r>
        <w:lastRenderedPageBreak/>
        <w:t>Explain superscripts, statistical markers, abbreviations and data sources in table notes.</w:t>
      </w:r>
    </w:p>
    <w:p w14:paraId="66EA3D98" w14:textId="77777777" w:rsidR="00823B9D" w:rsidRDefault="00000000">
      <w:pPr>
        <w:pStyle w:val="ListBullet"/>
        <w:spacing w:after="40"/>
      </w:pPr>
      <w:r>
        <w:t>Do not repeat large amounts of data in both a table and a figure without analytical justification.</w:t>
      </w:r>
    </w:p>
    <w:p w14:paraId="4349CEA1" w14:textId="52D84A3C" w:rsidR="00823B9D" w:rsidRPr="00B03CBA" w:rsidRDefault="00000000">
      <w:pPr>
        <w:pStyle w:val="Heading2"/>
        <w:rPr>
          <w:color w:val="000000" w:themeColor="text1"/>
        </w:rPr>
      </w:pPr>
      <w:r w:rsidRPr="00B03CBA">
        <w:rPr>
          <w:color w:val="000000" w:themeColor="text1"/>
        </w:rPr>
        <w:t>Notes</w:t>
      </w:r>
      <w:r w:rsidR="00B03CBA" w:rsidRPr="00B03CBA">
        <w:rPr>
          <w:color w:val="000000" w:themeColor="text1"/>
        </w:rPr>
        <w:t>/</w:t>
      </w:r>
      <w:r w:rsidRPr="00B03CBA">
        <w:rPr>
          <w:color w:val="000000" w:themeColor="text1"/>
        </w:rPr>
        <w:t>endnotes</w:t>
      </w:r>
    </w:p>
    <w:p w14:paraId="0188CB3C" w14:textId="77777777" w:rsidR="00823B9D" w:rsidRDefault="00000000">
      <w:pPr>
        <w:jc w:val="both"/>
      </w:pPr>
      <w:r>
        <w:t>Use notes sparingly. Essential explanatory material should normally be integrated into the main text. Where notes are necessary, number them consecutively and use a consistent format.</w:t>
      </w:r>
    </w:p>
    <w:p w14:paraId="77E980FB" w14:textId="77777777" w:rsidR="00823B9D" w:rsidRPr="00B03CBA" w:rsidRDefault="00000000">
      <w:pPr>
        <w:pStyle w:val="Heading2"/>
        <w:rPr>
          <w:color w:val="000000" w:themeColor="text1"/>
        </w:rPr>
      </w:pPr>
      <w:r w:rsidRPr="00B03CBA">
        <w:rPr>
          <w:color w:val="000000" w:themeColor="text1"/>
        </w:rPr>
        <w:t>References</w:t>
      </w:r>
    </w:p>
    <w:p w14:paraId="54060243" w14:textId="77777777" w:rsidR="00823B9D" w:rsidRDefault="00000000">
      <w:pPr>
        <w:jc w:val="both"/>
      </w:pPr>
      <w:r>
        <w:t>References should be complete, accurate and consistent. Harvard author-date style is proposed for JSGI unless the publisher applies a house style at launch. Every in-text citation must appear in the reference list and every reference-list entry must be cited in the text. Authors should verify DOIs and persistent links where available and should avoid unnecessary self-citation or citation practices intended to manipulate metrics.</w:t>
      </w:r>
    </w:p>
    <w:p w14:paraId="0591AAEC" w14:textId="77777777" w:rsidR="00823B9D" w:rsidRDefault="00000000">
      <w:pPr>
        <w:pStyle w:val="Heading1"/>
      </w:pPr>
      <w:r>
        <w:t>8. Submission Checklist</w:t>
      </w:r>
    </w:p>
    <w:p w14:paraId="4056C666" w14:textId="77777777" w:rsidR="00823B9D" w:rsidRDefault="00000000">
      <w:pPr>
        <w:spacing w:after="40"/>
        <w:ind w:left="216" w:hanging="216"/>
      </w:pPr>
      <w:r>
        <w:rPr>
          <w:b/>
          <w:color w:val="0B8178"/>
        </w:rPr>
        <w:t xml:space="preserve">☐  </w:t>
      </w:r>
      <w:r>
        <w:t>The paper fits the JSGI Editorial Fit Framework and clearly addresses implementation and/or governance.</w:t>
      </w:r>
    </w:p>
    <w:p w14:paraId="5C060667" w14:textId="77777777" w:rsidR="00823B9D" w:rsidRDefault="00000000">
      <w:pPr>
        <w:spacing w:after="40"/>
        <w:ind w:left="216" w:hanging="216"/>
      </w:pPr>
      <w:r>
        <w:rPr>
          <w:b/>
          <w:color w:val="0B8178"/>
        </w:rPr>
        <w:t xml:space="preserve">☐  </w:t>
      </w:r>
      <w:r>
        <w:t>The contribution is explicit relative to current international literature.</w:t>
      </w:r>
    </w:p>
    <w:p w14:paraId="6E3084F7" w14:textId="77777777" w:rsidR="00823B9D" w:rsidRDefault="00000000">
      <w:pPr>
        <w:spacing w:after="40"/>
        <w:ind w:left="216" w:hanging="216"/>
      </w:pPr>
      <w:r>
        <w:rPr>
          <w:b/>
          <w:color w:val="0B8178"/>
        </w:rPr>
        <w:t xml:space="preserve">☐  </w:t>
      </w:r>
      <w:r>
        <w:t>The method is appropriate, transparent and sufficiently described for evaluation or reproduction where feasible.</w:t>
      </w:r>
    </w:p>
    <w:p w14:paraId="5669F8FB" w14:textId="77777777" w:rsidR="00823B9D" w:rsidRDefault="00000000">
      <w:pPr>
        <w:spacing w:after="40"/>
        <w:ind w:left="216" w:hanging="216"/>
      </w:pPr>
      <w:r>
        <w:rPr>
          <w:b/>
          <w:color w:val="0B8178"/>
        </w:rPr>
        <w:t xml:space="preserve">☐  </w:t>
      </w:r>
      <w:r>
        <w:t>Claims are supported by evidence, with uncertainty, limitations and trade-offs discussed.</w:t>
      </w:r>
    </w:p>
    <w:p w14:paraId="3A819BC3" w14:textId="77777777" w:rsidR="00823B9D" w:rsidRDefault="00000000">
      <w:pPr>
        <w:spacing w:after="40"/>
        <w:ind w:left="216" w:hanging="216"/>
      </w:pPr>
      <w:r>
        <w:rPr>
          <w:b/>
          <w:color w:val="0B8178"/>
        </w:rPr>
        <w:t xml:space="preserve">☐  </w:t>
      </w:r>
      <w:r>
        <w:t>The manuscript explains transferability or lessons beyond a purely local description.</w:t>
      </w:r>
    </w:p>
    <w:p w14:paraId="194154DE" w14:textId="77777777" w:rsidR="00823B9D" w:rsidRDefault="00000000">
      <w:pPr>
        <w:spacing w:after="40"/>
        <w:ind w:left="216" w:hanging="216"/>
      </w:pPr>
      <w:r>
        <w:rPr>
          <w:b/>
          <w:color w:val="0B8178"/>
        </w:rPr>
        <w:t xml:space="preserve">☐  </w:t>
      </w:r>
      <w:r>
        <w:t>Title, abstract and keywords accurately represent the study and support discoverability.</w:t>
      </w:r>
    </w:p>
    <w:p w14:paraId="7A6197FF" w14:textId="77777777" w:rsidR="00823B9D" w:rsidRDefault="00000000">
      <w:pPr>
        <w:spacing w:after="40"/>
        <w:ind w:left="216" w:hanging="216"/>
      </w:pPr>
      <w:r>
        <w:rPr>
          <w:b/>
          <w:color w:val="0B8178"/>
        </w:rPr>
        <w:t xml:space="preserve">☐  </w:t>
      </w:r>
      <w:r>
        <w:t>All figures and tables are cited, legible and correctly captioned.</w:t>
      </w:r>
    </w:p>
    <w:p w14:paraId="0D10F931" w14:textId="77777777" w:rsidR="00823B9D" w:rsidRDefault="00000000">
      <w:pPr>
        <w:spacing w:after="40"/>
        <w:ind w:left="216" w:hanging="216"/>
      </w:pPr>
      <w:r>
        <w:rPr>
          <w:b/>
          <w:color w:val="0B8178"/>
        </w:rPr>
        <w:t xml:space="preserve">☐  </w:t>
      </w:r>
      <w:r>
        <w:t>Authorship, CRediT, funding, conflicts, ethics, AI-use and data/code statements are complete.</w:t>
      </w:r>
    </w:p>
    <w:p w14:paraId="5F348153" w14:textId="77777777" w:rsidR="00823B9D" w:rsidRDefault="00000000">
      <w:pPr>
        <w:spacing w:after="40"/>
        <w:ind w:left="216" w:hanging="216"/>
      </w:pPr>
      <w:r>
        <w:rPr>
          <w:b/>
          <w:color w:val="0B8178"/>
        </w:rPr>
        <w:t xml:space="preserve">☐  </w:t>
      </w:r>
      <w:r>
        <w:t>References have been checked for accuracy and consistency.</w:t>
      </w:r>
    </w:p>
    <w:p w14:paraId="7C5233A7" w14:textId="77777777" w:rsidR="00823B9D" w:rsidRDefault="00000000">
      <w:pPr>
        <w:spacing w:after="40"/>
        <w:ind w:left="216" w:hanging="216"/>
      </w:pPr>
      <w:r>
        <w:rPr>
          <w:b/>
          <w:color w:val="0B8178"/>
        </w:rPr>
        <w:t xml:space="preserve">☐  </w:t>
      </w:r>
      <w:r>
        <w:t>The manuscript has been anonymised where required for double-anonymous review.</w:t>
      </w:r>
    </w:p>
    <w:p w14:paraId="78947A16" w14:textId="77777777" w:rsidR="00823B9D" w:rsidRDefault="00000000">
      <w:pPr>
        <w:spacing w:after="40"/>
        <w:ind w:left="216" w:hanging="216"/>
      </w:pPr>
      <w:r>
        <w:rPr>
          <w:b/>
          <w:color w:val="0B8178"/>
        </w:rPr>
        <w:t xml:space="preserve">☐  </w:t>
      </w:r>
      <w:r>
        <w:t>No confidential, copyrighted or third-party material is included without appropriate permission.</w:t>
      </w:r>
    </w:p>
    <w:p w14:paraId="731C97E6" w14:textId="77777777" w:rsidR="00823B9D" w:rsidRDefault="00000000">
      <w:pPr>
        <w:spacing w:after="40"/>
        <w:ind w:left="216" w:hanging="216"/>
      </w:pPr>
      <w:r>
        <w:rPr>
          <w:b/>
          <w:color w:val="0B8178"/>
        </w:rPr>
        <w:t xml:space="preserve">☐  </w:t>
      </w:r>
      <w:r>
        <w:t>The submission is original and is not under consideration by another journal.</w:t>
      </w:r>
    </w:p>
    <w:tbl>
      <w:tblPr>
        <w:tblW w:w="0" w:type="auto"/>
        <w:jc w:val="center"/>
        <w:tblBorders>
          <w:top w:val="single" w:sz="8" w:space="0" w:color="0B8178"/>
          <w:left w:val="single" w:sz="8" w:space="0" w:color="0B8178"/>
          <w:bottom w:val="single" w:sz="8" w:space="0" w:color="0B8178"/>
          <w:right w:val="single" w:sz="8" w:space="0" w:color="0B8178"/>
          <w:insideH w:val="single" w:sz="8" w:space="0" w:color="0B8178"/>
          <w:insideV w:val="single" w:sz="8" w:space="0" w:color="0B8178"/>
        </w:tblBorders>
        <w:tblLook w:val="04A0" w:firstRow="1" w:lastRow="0" w:firstColumn="1" w:lastColumn="0" w:noHBand="0" w:noVBand="1"/>
      </w:tblPr>
      <w:tblGrid>
        <w:gridCol w:w="10146"/>
      </w:tblGrid>
      <w:tr w:rsidR="00823B9D" w14:paraId="05C85B4F" w14:textId="77777777">
        <w:trPr>
          <w:jc w:val="center"/>
        </w:trPr>
        <w:tc>
          <w:tcPr>
            <w:tcW w:w="10166" w:type="dxa"/>
            <w:shd w:val="clear" w:color="auto" w:fill="EAF0F7"/>
            <w:tcMar>
              <w:top w:w="120" w:type="dxa"/>
              <w:left w:w="130" w:type="dxa"/>
              <w:bottom w:w="120" w:type="dxa"/>
              <w:right w:w="130" w:type="dxa"/>
            </w:tcMar>
          </w:tcPr>
          <w:p w14:paraId="2AFC40C7" w14:textId="77777777" w:rsidR="00823B9D" w:rsidRDefault="00000000">
            <w:pPr>
              <w:spacing w:after="40"/>
            </w:pPr>
            <w:r>
              <w:rPr>
                <w:b/>
                <w:color w:val="0B376D"/>
              </w:rPr>
              <w:t>Author value proposition</w:t>
            </w:r>
          </w:p>
          <w:p w14:paraId="2A4DCD43" w14:textId="77777777" w:rsidR="00823B9D" w:rsidRDefault="00000000">
            <w:pPr>
              <w:spacing w:after="0"/>
              <w:jc w:val="both"/>
            </w:pPr>
            <w:r>
              <w:rPr>
                <w:sz w:val="19"/>
              </w:rPr>
              <w:t>JSGI is intended to offer fast expert scope triage, high-quality peer review, visible editorial expertise across policy, engineering, finance and data, format-light initial submission where possible, open-science support and selected article promotion through policy briefs, webinars, editor interviews and practitioner networks.</w:t>
            </w:r>
          </w:p>
        </w:tc>
      </w:tr>
    </w:tbl>
    <w:p w14:paraId="7263A29D" w14:textId="77777777" w:rsidR="00823B9D" w:rsidRDefault="00823B9D">
      <w:pPr>
        <w:spacing w:after="0"/>
      </w:pPr>
    </w:p>
    <w:sectPr w:rsidR="00823B9D" w:rsidSect="00034616">
      <w:headerReference w:type="default" r:id="rId9"/>
      <w:footerReference w:type="default" r:id="rId10"/>
      <w:pgSz w:w="12240" w:h="15840"/>
      <w:pgMar w:top="893" w:right="1037" w:bottom="835" w:left="1037" w:header="36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BB744C" w14:textId="77777777" w:rsidR="00D16E87" w:rsidRDefault="00D16E87">
      <w:pPr>
        <w:spacing w:after="0" w:line="240" w:lineRule="auto"/>
      </w:pPr>
      <w:r>
        <w:separator/>
      </w:r>
    </w:p>
  </w:endnote>
  <w:endnote w:type="continuationSeparator" w:id="0">
    <w:p w14:paraId="71A9F782" w14:textId="77777777" w:rsidR="00D16E87" w:rsidRDefault="00D16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3C190C" w14:textId="4896CEDC" w:rsidR="00823B9D" w:rsidRDefault="00000000" w:rsidP="00BF721D">
    <w:pPr>
      <w:pStyle w:val="Footer"/>
      <w:jc w:val="center"/>
    </w:pPr>
    <w:r>
      <w:rPr>
        <w:color w:val="65717E"/>
        <w:sz w:val="16"/>
      </w:rPr>
      <w:t xml:space="preserve">Journal of Sustainability Governance and Implementation     Page </w:t>
    </w:r>
    <w:r>
      <w:rPr>
        <w:color w:val="65717E"/>
        <w:sz w:val="16"/>
      </w:rPr>
      <w:fldChar w:fldCharType="begin"/>
    </w:r>
    <w:r>
      <w:rPr>
        <w:color w:val="65717E"/>
        <w:sz w:val="16"/>
      </w:rPr>
      <w:instrText xml:space="preserve"> PAGE </w:instrText>
    </w:r>
    <w:r>
      <w:rPr>
        <w:color w:val="65717E"/>
        <w:sz w:val="16"/>
      </w:rPr>
      <w:fldChar w:fldCharType="separate"/>
    </w:r>
    <w:r w:rsidR="00185F30">
      <w:rPr>
        <w:noProof/>
        <w:color w:val="65717E"/>
        <w:sz w:val="16"/>
      </w:rPr>
      <w:t>2</w:t>
    </w:r>
    <w:r>
      <w:rPr>
        <w:color w:val="65717E"/>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6F35AB" w14:textId="77777777" w:rsidR="00D16E87" w:rsidRDefault="00D16E87">
      <w:pPr>
        <w:spacing w:after="0" w:line="240" w:lineRule="auto"/>
      </w:pPr>
      <w:r>
        <w:separator/>
      </w:r>
    </w:p>
  </w:footnote>
  <w:footnote w:type="continuationSeparator" w:id="0">
    <w:p w14:paraId="3172C8FD" w14:textId="77777777" w:rsidR="00D16E87" w:rsidRDefault="00D16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4DEF1" w14:textId="77777777" w:rsidR="00823B9D" w:rsidRDefault="00823B9D">
    <w:pPr>
      <w:pStyle w:val="Header"/>
    </w:pP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5040"/>
      <w:gridCol w:w="5040"/>
    </w:tblGrid>
    <w:tr w:rsidR="00823B9D" w14:paraId="07047597" w14:textId="77777777">
      <w:trPr>
        <w:jc w:val="center"/>
      </w:trPr>
      <w:tc>
        <w:tcPr>
          <w:tcW w:w="5040" w:type="dxa"/>
        </w:tcPr>
        <w:p w14:paraId="5E9992F9" w14:textId="77777777" w:rsidR="00823B9D" w:rsidRDefault="00000000">
          <w:pPr>
            <w:spacing w:after="0"/>
          </w:pPr>
          <w:r>
            <w:rPr>
              <w:noProof/>
            </w:rPr>
            <w:drawing>
              <wp:inline distT="0" distB="0" distL="0" distR="0" wp14:anchorId="78990E4B" wp14:editId="22C65A6B">
                <wp:extent cx="310896" cy="269443"/>
                <wp:effectExtent l="0" t="0" r="0" b="0"/>
                <wp:docPr id="35374313" name="Picture 3537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GI_symbol.png"/>
                        <pic:cNvPicPr/>
                      </pic:nvPicPr>
                      <pic:blipFill>
                        <a:blip r:embed="rId1"/>
                        <a:stretch>
                          <a:fillRect/>
                        </a:stretch>
                      </pic:blipFill>
                      <pic:spPr>
                        <a:xfrm>
                          <a:off x="0" y="0"/>
                          <a:ext cx="310896" cy="269443"/>
                        </a:xfrm>
                        <a:prstGeom prst="rect">
                          <a:avLst/>
                        </a:prstGeom>
                      </pic:spPr>
                    </pic:pic>
                  </a:graphicData>
                </a:graphic>
              </wp:inline>
            </w:drawing>
          </w:r>
        </w:p>
      </w:tc>
      <w:tc>
        <w:tcPr>
          <w:tcW w:w="5040" w:type="dxa"/>
        </w:tcPr>
        <w:p w14:paraId="44A848FA" w14:textId="77777777" w:rsidR="00823B9D" w:rsidRDefault="00000000">
          <w:pPr>
            <w:spacing w:after="0"/>
            <w:jc w:val="right"/>
          </w:pPr>
          <w:r>
            <w:rPr>
              <w:b/>
              <w:color w:val="0B376D"/>
              <w:sz w:val="16"/>
            </w:rPr>
            <w:t>JSGI | Guide for Authors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7867768">
    <w:abstractNumId w:val="8"/>
  </w:num>
  <w:num w:numId="2" w16cid:durableId="318771100">
    <w:abstractNumId w:val="6"/>
  </w:num>
  <w:num w:numId="3" w16cid:durableId="126707671">
    <w:abstractNumId w:val="5"/>
  </w:num>
  <w:num w:numId="4" w16cid:durableId="804393065">
    <w:abstractNumId w:val="4"/>
  </w:num>
  <w:num w:numId="5" w16cid:durableId="1549024957">
    <w:abstractNumId w:val="7"/>
  </w:num>
  <w:num w:numId="6" w16cid:durableId="1819573806">
    <w:abstractNumId w:val="3"/>
  </w:num>
  <w:num w:numId="7" w16cid:durableId="1016544951">
    <w:abstractNumId w:val="2"/>
  </w:num>
  <w:num w:numId="8" w16cid:durableId="402874679">
    <w:abstractNumId w:val="1"/>
  </w:num>
  <w:num w:numId="9" w16cid:durableId="1373651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D55"/>
    <w:rsid w:val="0015074B"/>
    <w:rsid w:val="00173B43"/>
    <w:rsid w:val="00185F30"/>
    <w:rsid w:val="0029639D"/>
    <w:rsid w:val="002C4969"/>
    <w:rsid w:val="00326F90"/>
    <w:rsid w:val="00407160"/>
    <w:rsid w:val="007A51F7"/>
    <w:rsid w:val="00823B9D"/>
    <w:rsid w:val="008B2963"/>
    <w:rsid w:val="009C28A7"/>
    <w:rsid w:val="00AA1D8D"/>
    <w:rsid w:val="00B03CBA"/>
    <w:rsid w:val="00B316A2"/>
    <w:rsid w:val="00B47730"/>
    <w:rsid w:val="00BF721D"/>
    <w:rsid w:val="00C470F5"/>
    <w:rsid w:val="00CB0664"/>
    <w:rsid w:val="00D16E87"/>
    <w:rsid w:val="00E9377E"/>
    <w:rsid w:val="00EB3F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1FF1E7"/>
  <w14:defaultImageDpi w14:val="300"/>
  <w15:docId w15:val="{12924D03-A9FC-6145-9D64-D359C0F0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D2733"/>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B376D"/>
      <w:sz w:val="32"/>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b/>
      <w:bCs/>
      <w:color w:val="0B8178"/>
      <w:sz w:val="25"/>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b/>
      <w:bCs/>
      <w:color w:val="0B376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376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0B817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40" w:line="269" w:lineRule="auto"/>
    </w:pPr>
    <w:rPr>
      <w:rFonts w:ascii="Aptos" w:hAnsi="Aptos"/>
      <w:color w:val="1D2733"/>
      <w:sz w:val="23"/>
    </w:rPr>
  </w:style>
  <w:style w:type="paragraph" w:customStyle="1" w:styleId="Small">
    <w:name w:val="Small"/>
    <w:pPr>
      <w:spacing w:after="60"/>
    </w:pPr>
    <w:rPr>
      <w:rFonts w:ascii="Aptos" w:hAnsi="Aptos"/>
      <w:color w:val="65717E"/>
      <w:sz w:val="16"/>
    </w:rPr>
  </w:style>
  <w:style w:type="paragraph" w:customStyle="1" w:styleId="Callout">
    <w:name w:val="Callout"/>
    <w:pPr>
      <w:spacing w:after="80"/>
    </w:pPr>
    <w:rPr>
      <w:rFonts w:ascii="Aptos" w:hAnsi="Aptos"/>
      <w:b/>
      <w:color w:val="0B376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Yasser Kaied</dc:creator>
  <cp:keywords/>
  <dc:description/>
  <cp:lastModifiedBy>Prof Abdul Salam Darwish</cp:lastModifiedBy>
  <cp:revision>2</cp:revision>
  <dcterms:created xsi:type="dcterms:W3CDTF">2026-08-23T07:25:00Z</dcterms:created>
  <dcterms:modified xsi:type="dcterms:W3CDTF">2026-08-23T07:25:00Z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c4e999bc72e65b2348385d804d0814b7d3833bb7788c1bf1545be9dd7cca7db1</vt:lpwstr>
  </property>
</Properties>
</file>